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544"/>
        <w:gridCol w:w="4527"/>
      </w:tblGrid>
      <w:tr w:rsidR="002B2CF9" w:rsidRPr="002B2CF9" w:rsidTr="00D539E6">
        <w:trPr>
          <w:jc w:val="center"/>
        </w:trPr>
        <w:tc>
          <w:tcPr>
            <w:tcW w:w="9071" w:type="dxa"/>
            <w:gridSpan w:val="2"/>
            <w:shd w:val="clear" w:color="auto" w:fill="auto"/>
          </w:tcPr>
          <w:p w:rsidR="002B2CF9" w:rsidRPr="002B2CF9" w:rsidRDefault="002B2CF9" w:rsidP="002B2CF9">
            <w:pPr>
              <w:spacing w:before="240" w:after="240" w:line="240" w:lineRule="auto"/>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val="uk-UA" w:eastAsia="ru-RU"/>
              </w:rPr>
              <w:t xml:space="preserve">УДК </w:t>
            </w:r>
            <w:r w:rsidRPr="002B2CF9">
              <w:rPr>
                <w:rFonts w:ascii="Times New Roman" w:eastAsia="Times New Roman" w:hAnsi="Times New Roman" w:cs="Times New Roman"/>
                <w:sz w:val="24"/>
                <w:szCs w:val="24"/>
                <w:lang w:eastAsia="ru-RU"/>
              </w:rPr>
              <w:t>634.85:631.559/.811:632.4/.952.004.12</w:t>
            </w:r>
          </w:p>
          <w:p w:rsidR="002B2CF9" w:rsidRPr="002B2CF9" w:rsidRDefault="002B2CF9" w:rsidP="002B2CF9">
            <w:pPr>
              <w:spacing w:after="0" w:line="240" w:lineRule="auto"/>
              <w:jc w:val="center"/>
              <w:rPr>
                <w:rFonts w:ascii="Times New Roman" w:eastAsia="Times New Roman" w:hAnsi="Times New Roman" w:cs="Times New Roman"/>
                <w:b/>
                <w:sz w:val="28"/>
                <w:szCs w:val="28"/>
                <w:lang w:eastAsia="ru-RU"/>
              </w:rPr>
            </w:pPr>
            <w:r w:rsidRPr="002B2CF9">
              <w:rPr>
                <w:rFonts w:ascii="Times New Roman" w:eastAsia="Times New Roman" w:hAnsi="Times New Roman" w:cs="Times New Roman"/>
                <w:b/>
                <w:sz w:val="28"/>
                <w:szCs w:val="28"/>
                <w:lang w:eastAsia="ru-RU"/>
              </w:rPr>
              <w:t xml:space="preserve">ОЦЕНКА ВЛИЯНИЯ ПРЕПАРАТОВ НОВОГО ПОКОЛЕНИЯ </w:t>
            </w:r>
          </w:p>
          <w:p w:rsidR="002B2CF9" w:rsidRPr="002B2CF9" w:rsidRDefault="002B2CF9" w:rsidP="002B2CF9">
            <w:pPr>
              <w:spacing w:after="0" w:line="240" w:lineRule="auto"/>
              <w:jc w:val="center"/>
              <w:rPr>
                <w:rFonts w:ascii="Times New Roman" w:eastAsia="Times New Roman" w:hAnsi="Times New Roman" w:cs="Times New Roman"/>
                <w:b/>
                <w:sz w:val="28"/>
                <w:szCs w:val="28"/>
                <w:lang w:eastAsia="ru-RU"/>
              </w:rPr>
            </w:pPr>
            <w:r w:rsidRPr="002B2CF9">
              <w:rPr>
                <w:rFonts w:ascii="Times New Roman" w:eastAsia="Times New Roman" w:hAnsi="Times New Roman" w:cs="Times New Roman"/>
                <w:b/>
                <w:sz w:val="28"/>
                <w:szCs w:val="28"/>
                <w:lang w:eastAsia="ru-RU"/>
              </w:rPr>
              <w:t xml:space="preserve">НА КОЛИЧЕСТВЕННЫЕ И КАЧЕСТВЕННЫЕ ПОКАЗАТЕЛИ </w:t>
            </w:r>
          </w:p>
          <w:p w:rsidR="002B2CF9" w:rsidRPr="002B2CF9" w:rsidRDefault="002B2CF9" w:rsidP="002B2CF9">
            <w:pPr>
              <w:spacing w:after="240" w:line="240" w:lineRule="auto"/>
              <w:jc w:val="center"/>
              <w:rPr>
                <w:rFonts w:ascii="Times New Roman" w:eastAsia="Times New Roman" w:hAnsi="Times New Roman" w:cs="Times New Roman"/>
                <w:b/>
                <w:sz w:val="28"/>
                <w:szCs w:val="28"/>
                <w:lang w:eastAsia="ru-RU"/>
              </w:rPr>
            </w:pPr>
            <w:r w:rsidRPr="002B2CF9">
              <w:rPr>
                <w:rFonts w:ascii="Times New Roman" w:eastAsia="Times New Roman" w:hAnsi="Times New Roman" w:cs="Times New Roman"/>
                <w:b/>
                <w:sz w:val="28"/>
                <w:szCs w:val="28"/>
                <w:lang w:eastAsia="ru-RU"/>
              </w:rPr>
              <w:t>ВИНОГРАДА ТЕХНИЧЕСКОГО СОРТА КАБЕРНЕ-СОВИНЬОН</w:t>
            </w:r>
          </w:p>
          <w:p w:rsidR="002B2CF9" w:rsidRPr="002B2CF9" w:rsidRDefault="002B2CF9" w:rsidP="002B2CF9">
            <w:pPr>
              <w:spacing w:after="0" w:line="240" w:lineRule="auto"/>
              <w:jc w:val="center"/>
              <w:rPr>
                <w:rFonts w:ascii="Times New Roman" w:eastAsia="Times New Roman" w:hAnsi="Times New Roman" w:cs="Times New Roman"/>
                <w:b/>
                <w:sz w:val="28"/>
                <w:szCs w:val="28"/>
                <w:lang w:val="en-US" w:eastAsia="ru-RU"/>
              </w:rPr>
            </w:pPr>
            <w:r w:rsidRPr="002B2CF9">
              <w:rPr>
                <w:rFonts w:ascii="Times New Roman" w:eastAsia="Times New Roman" w:hAnsi="Times New Roman" w:cs="Times New Roman"/>
                <w:b/>
                <w:sz w:val="28"/>
                <w:szCs w:val="28"/>
                <w:lang w:val="en-US" w:eastAsia="ru-RU"/>
              </w:rPr>
              <w:t xml:space="preserve">EVALUATION OF THE INFLUENCE OF NEW GENERATION DRUGS ON QUANTITATIVE AND QUALITATIVE INDICATORS </w:t>
            </w:r>
          </w:p>
          <w:p w:rsidR="002B2CF9" w:rsidRPr="002B2CF9" w:rsidRDefault="002B2CF9" w:rsidP="002B2CF9">
            <w:pPr>
              <w:spacing w:after="0" w:line="240" w:lineRule="auto"/>
              <w:jc w:val="center"/>
              <w:rPr>
                <w:rFonts w:ascii="Times New Roman" w:eastAsia="Times New Roman" w:hAnsi="Times New Roman" w:cs="Times New Roman"/>
                <w:b/>
                <w:sz w:val="28"/>
                <w:szCs w:val="28"/>
                <w:highlight w:val="yellow"/>
                <w:lang w:val="en-US" w:eastAsia="ru-RU"/>
              </w:rPr>
            </w:pPr>
            <w:r w:rsidRPr="002B2CF9">
              <w:rPr>
                <w:rFonts w:ascii="Times New Roman" w:eastAsia="Times New Roman" w:hAnsi="Times New Roman" w:cs="Times New Roman"/>
                <w:b/>
                <w:sz w:val="28"/>
                <w:szCs w:val="28"/>
                <w:lang w:val="en-US" w:eastAsia="ru-RU"/>
              </w:rPr>
              <w:t>OF WINE GRAPE VARIETY CABERNET SAUVIGNON</w:t>
            </w:r>
          </w:p>
          <w:p w:rsidR="002B2CF9" w:rsidRPr="002B2CF9" w:rsidRDefault="002B2CF9" w:rsidP="002B2CF9">
            <w:pPr>
              <w:spacing w:after="0" w:line="240" w:lineRule="auto"/>
              <w:jc w:val="both"/>
              <w:rPr>
                <w:rFonts w:ascii="Times New Roman" w:eastAsia="Times New Roman" w:hAnsi="Times New Roman" w:cs="Times New Roman"/>
                <w:b/>
                <w:sz w:val="30"/>
                <w:szCs w:val="30"/>
                <w:lang w:val="en-US" w:eastAsia="ru-RU"/>
              </w:rPr>
            </w:pPr>
          </w:p>
        </w:tc>
      </w:tr>
      <w:tr w:rsidR="002B2CF9" w:rsidRPr="002B2CF9" w:rsidTr="00D539E6">
        <w:trPr>
          <w:jc w:val="center"/>
        </w:trPr>
        <w:tc>
          <w:tcPr>
            <w:tcW w:w="4544" w:type="dxa"/>
            <w:shd w:val="clear" w:color="auto" w:fill="auto"/>
          </w:tcPr>
          <w:p w:rsidR="002B2CF9" w:rsidRPr="002B2CF9" w:rsidRDefault="002B2CF9" w:rsidP="002B2CF9">
            <w:pPr>
              <w:spacing w:after="0" w:line="240" w:lineRule="auto"/>
              <w:jc w:val="both"/>
              <w:rPr>
                <w:rFonts w:ascii="Times New Roman" w:eastAsia="Times New Roman" w:hAnsi="Times New Roman" w:cs="Times New Roman"/>
                <w:i/>
                <w:sz w:val="24"/>
                <w:szCs w:val="24"/>
                <w:lang w:eastAsia="ru-RU"/>
              </w:rPr>
            </w:pPr>
            <w:r w:rsidRPr="002B2CF9">
              <w:rPr>
                <w:rFonts w:ascii="Times New Roman" w:eastAsia="Times New Roman" w:hAnsi="Times New Roman" w:cs="Times New Roman"/>
                <w:i/>
                <w:sz w:val="24"/>
                <w:szCs w:val="24"/>
                <w:lang w:eastAsia="ru-RU"/>
              </w:rPr>
              <w:t xml:space="preserve">Н.В. Алейникова, П.А. Диденко, </w:t>
            </w:r>
          </w:p>
          <w:p w:rsidR="002B2CF9" w:rsidRPr="002B2CF9" w:rsidRDefault="002B2CF9" w:rsidP="002B2CF9">
            <w:pPr>
              <w:spacing w:after="0" w:line="240" w:lineRule="auto"/>
              <w:jc w:val="both"/>
              <w:rPr>
                <w:rFonts w:ascii="Times New Roman" w:eastAsia="Times New Roman" w:hAnsi="Times New Roman" w:cs="Times New Roman"/>
                <w:i/>
                <w:sz w:val="24"/>
                <w:szCs w:val="24"/>
                <w:lang w:eastAsia="ru-RU"/>
              </w:rPr>
            </w:pPr>
            <w:r w:rsidRPr="002B2CF9">
              <w:rPr>
                <w:rFonts w:ascii="Times New Roman" w:eastAsia="Times New Roman" w:hAnsi="Times New Roman" w:cs="Times New Roman"/>
                <w:i/>
                <w:sz w:val="24"/>
                <w:szCs w:val="24"/>
                <w:lang w:eastAsia="ru-RU"/>
              </w:rPr>
              <w:t>Л.В. Диденко</w:t>
            </w:r>
          </w:p>
          <w:p w:rsidR="002B2CF9" w:rsidRPr="002B2CF9" w:rsidRDefault="002B2CF9" w:rsidP="002B2CF9">
            <w:pPr>
              <w:spacing w:after="0" w:line="240" w:lineRule="auto"/>
              <w:jc w:val="both"/>
              <w:rPr>
                <w:rFonts w:ascii="Times New Roman" w:eastAsia="Times New Roman" w:hAnsi="Times New Roman" w:cs="Times New Roman"/>
                <w:b/>
                <w:sz w:val="30"/>
                <w:szCs w:val="30"/>
                <w:lang w:val="en-US" w:eastAsia="ru-RU"/>
              </w:rPr>
            </w:pPr>
          </w:p>
        </w:tc>
        <w:tc>
          <w:tcPr>
            <w:tcW w:w="4527" w:type="dxa"/>
            <w:shd w:val="clear" w:color="auto" w:fill="auto"/>
          </w:tcPr>
          <w:p w:rsidR="002B2CF9" w:rsidRPr="002B2CF9" w:rsidRDefault="002B2CF9" w:rsidP="002B2CF9">
            <w:pPr>
              <w:spacing w:after="0" w:line="240" w:lineRule="auto"/>
              <w:ind w:right="-1"/>
              <w:jc w:val="both"/>
              <w:rPr>
                <w:rFonts w:ascii="Times New Roman" w:eastAsia="Times New Roman" w:hAnsi="Times New Roman" w:cs="Times New Roman"/>
                <w:i/>
                <w:sz w:val="24"/>
                <w:szCs w:val="24"/>
                <w:lang w:val="en-US" w:eastAsia="ru-RU"/>
              </w:rPr>
            </w:pPr>
            <w:r w:rsidRPr="002B2CF9">
              <w:rPr>
                <w:rFonts w:ascii="Times New Roman" w:eastAsia="Times New Roman" w:hAnsi="Times New Roman" w:cs="Times New Roman"/>
                <w:i/>
                <w:sz w:val="24"/>
                <w:szCs w:val="24"/>
                <w:lang w:val="en-US" w:eastAsia="ru-RU"/>
              </w:rPr>
              <w:t xml:space="preserve">N.V. Aleinikova, P.A. Didenko, </w:t>
            </w:r>
          </w:p>
          <w:p w:rsidR="002B2CF9" w:rsidRPr="002B2CF9" w:rsidRDefault="002B2CF9" w:rsidP="002B2CF9">
            <w:pPr>
              <w:spacing w:after="0" w:line="240" w:lineRule="auto"/>
              <w:ind w:right="-1"/>
              <w:jc w:val="both"/>
              <w:rPr>
                <w:rFonts w:ascii="Times New Roman" w:eastAsia="Times New Roman" w:hAnsi="Times New Roman" w:cs="Times New Roman"/>
                <w:i/>
                <w:sz w:val="24"/>
                <w:szCs w:val="24"/>
                <w:lang w:val="en-US" w:eastAsia="ru-RU"/>
              </w:rPr>
            </w:pPr>
            <w:r w:rsidRPr="002B2CF9">
              <w:rPr>
                <w:rFonts w:ascii="Times New Roman" w:eastAsia="Times New Roman" w:hAnsi="Times New Roman" w:cs="Times New Roman"/>
                <w:i/>
                <w:sz w:val="24"/>
                <w:szCs w:val="24"/>
                <w:lang w:val="en-US" w:eastAsia="ru-RU"/>
              </w:rPr>
              <w:t>L.V. Didenko</w:t>
            </w:r>
          </w:p>
          <w:p w:rsidR="002B2CF9" w:rsidRPr="002B2CF9" w:rsidRDefault="002B2CF9" w:rsidP="002B2CF9">
            <w:pPr>
              <w:spacing w:after="0" w:line="240" w:lineRule="auto"/>
              <w:jc w:val="both"/>
              <w:rPr>
                <w:rFonts w:ascii="Times New Roman" w:eastAsia="Times New Roman" w:hAnsi="Times New Roman" w:cs="Times New Roman"/>
                <w:b/>
                <w:sz w:val="30"/>
                <w:szCs w:val="30"/>
                <w:lang w:val="en-US" w:eastAsia="ru-RU"/>
              </w:rPr>
            </w:pPr>
          </w:p>
        </w:tc>
      </w:tr>
      <w:tr w:rsidR="002B2CF9" w:rsidRPr="002B2CF9" w:rsidTr="00D539E6">
        <w:trPr>
          <w:jc w:val="center"/>
        </w:trPr>
        <w:tc>
          <w:tcPr>
            <w:tcW w:w="4544" w:type="dxa"/>
            <w:shd w:val="clear" w:color="auto" w:fill="auto"/>
          </w:tcPr>
          <w:p w:rsidR="002B2CF9" w:rsidRPr="002B2CF9" w:rsidRDefault="002B2CF9" w:rsidP="002B2CF9">
            <w:pPr>
              <w:spacing w:after="0" w:line="240" w:lineRule="auto"/>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ФГБУН «Всероссийский национальный научно-исследовательский институт виноградарства и виноделия «Магарач» РАН» г. Ялта, Республика Крым, Россия</w:t>
            </w:r>
          </w:p>
          <w:p w:rsidR="002B2CF9" w:rsidRPr="002B2CF9" w:rsidRDefault="002B2CF9" w:rsidP="002B2CF9">
            <w:pPr>
              <w:spacing w:after="0" w:line="240" w:lineRule="auto"/>
              <w:jc w:val="both"/>
              <w:rPr>
                <w:rFonts w:ascii="Times New Roman" w:eastAsia="Times New Roman" w:hAnsi="Times New Roman" w:cs="Times New Roman"/>
                <w:b/>
                <w:sz w:val="30"/>
                <w:szCs w:val="30"/>
                <w:lang w:eastAsia="ru-RU"/>
              </w:rPr>
            </w:pPr>
          </w:p>
        </w:tc>
        <w:tc>
          <w:tcPr>
            <w:tcW w:w="4527" w:type="dxa"/>
            <w:shd w:val="clear" w:color="auto" w:fill="auto"/>
          </w:tcPr>
          <w:p w:rsidR="002B2CF9" w:rsidRPr="002B2CF9" w:rsidRDefault="002B2CF9" w:rsidP="002B2CF9">
            <w:pPr>
              <w:spacing w:after="0" w:line="240" w:lineRule="auto"/>
              <w:jc w:val="both"/>
              <w:rPr>
                <w:rFonts w:ascii="Times New Roman" w:eastAsia="Times New Roman" w:hAnsi="Times New Roman" w:cs="Times New Roman"/>
                <w:sz w:val="24"/>
                <w:szCs w:val="24"/>
                <w:lang w:val="en-US" w:eastAsia="ru-RU"/>
              </w:rPr>
            </w:pPr>
            <w:r w:rsidRPr="002B2CF9">
              <w:rPr>
                <w:rFonts w:ascii="Times New Roman" w:eastAsia="Times New Roman" w:hAnsi="Times New Roman" w:cs="Times New Roman"/>
                <w:sz w:val="24"/>
                <w:szCs w:val="24"/>
                <w:lang w:val="en-US" w:eastAsia="ru-RU"/>
              </w:rPr>
              <w:t>All-Russian National Research Institute of Viticulture and Winemaking «Magarach» of RAS, Yalta, Republic of the Crimea, Russia</w:t>
            </w:r>
          </w:p>
          <w:p w:rsidR="002B2CF9" w:rsidRPr="002B2CF9" w:rsidRDefault="002B2CF9" w:rsidP="002B2CF9">
            <w:pPr>
              <w:spacing w:after="0" w:line="240" w:lineRule="auto"/>
              <w:jc w:val="both"/>
              <w:rPr>
                <w:rFonts w:ascii="Times New Roman" w:eastAsia="Times New Roman" w:hAnsi="Times New Roman" w:cs="Times New Roman"/>
                <w:b/>
                <w:sz w:val="30"/>
                <w:szCs w:val="30"/>
                <w:lang w:val="en-US" w:eastAsia="ru-RU"/>
              </w:rPr>
            </w:pPr>
          </w:p>
        </w:tc>
      </w:tr>
      <w:tr w:rsidR="002B2CF9" w:rsidRPr="002B2CF9" w:rsidTr="00D539E6">
        <w:trPr>
          <w:jc w:val="center"/>
        </w:trPr>
        <w:tc>
          <w:tcPr>
            <w:tcW w:w="4544" w:type="dxa"/>
            <w:shd w:val="clear" w:color="auto" w:fill="auto"/>
          </w:tcPr>
          <w:p w:rsidR="002B2CF9" w:rsidRPr="002B2CF9" w:rsidRDefault="002B2CF9" w:rsidP="002B2CF9">
            <w:pPr>
              <w:spacing w:after="0" w:line="240" w:lineRule="auto"/>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b/>
                <w:sz w:val="24"/>
                <w:szCs w:val="24"/>
                <w:lang w:eastAsia="ru-RU"/>
              </w:rPr>
              <w:t>Аннотация.</w:t>
            </w:r>
            <w:r w:rsidRPr="002B2CF9">
              <w:rPr>
                <w:rFonts w:ascii="Times New Roman" w:eastAsia="Times New Roman" w:hAnsi="Times New Roman" w:cs="Times New Roman"/>
                <w:sz w:val="24"/>
                <w:szCs w:val="24"/>
                <w:lang w:eastAsia="ru-RU"/>
              </w:rPr>
              <w:t xml:space="preserve"> Представлены результаты двухлетних полевых исследований по определению влияния препаратов Нутри-Файт РК и Спартан, при их использовании в баковой смеси пестицидов, на урожайность и качество винограда технического сорта Каберне-Совиньон. Показано, что использование данных препаратов при обработках винограда повышает урожайность на 11,8 % (до 11,4 т/га) в условиях Южнобережного Крыма.</w:t>
            </w:r>
          </w:p>
          <w:p w:rsidR="002B2CF9" w:rsidRPr="002B2CF9" w:rsidRDefault="002B2CF9" w:rsidP="002B2CF9">
            <w:pPr>
              <w:spacing w:after="0" w:line="240" w:lineRule="auto"/>
              <w:jc w:val="both"/>
              <w:rPr>
                <w:rFonts w:ascii="Times New Roman" w:eastAsia="Times New Roman" w:hAnsi="Times New Roman" w:cs="Times New Roman"/>
                <w:b/>
                <w:sz w:val="30"/>
                <w:szCs w:val="30"/>
                <w:lang w:eastAsia="ru-RU"/>
              </w:rPr>
            </w:pPr>
          </w:p>
        </w:tc>
        <w:tc>
          <w:tcPr>
            <w:tcW w:w="4527" w:type="dxa"/>
            <w:shd w:val="clear" w:color="auto" w:fill="auto"/>
          </w:tcPr>
          <w:p w:rsidR="002B2CF9" w:rsidRPr="002B2CF9" w:rsidRDefault="002B2CF9" w:rsidP="002B2CF9">
            <w:pPr>
              <w:spacing w:after="0" w:line="240" w:lineRule="auto"/>
              <w:ind w:right="-1"/>
              <w:jc w:val="both"/>
              <w:rPr>
                <w:rFonts w:ascii="Times New Roman" w:eastAsia="Times New Roman" w:hAnsi="Times New Roman" w:cs="Times New Roman"/>
                <w:sz w:val="24"/>
                <w:szCs w:val="24"/>
                <w:lang w:val="en-US" w:eastAsia="ru-RU"/>
              </w:rPr>
            </w:pPr>
            <w:r w:rsidRPr="002B2CF9">
              <w:rPr>
                <w:rFonts w:ascii="Times New Roman" w:eastAsia="Times New Roman" w:hAnsi="Times New Roman" w:cs="Times New Roman"/>
                <w:b/>
                <w:sz w:val="24"/>
                <w:szCs w:val="24"/>
                <w:lang w:val="en-US" w:eastAsia="ru-RU"/>
              </w:rPr>
              <w:t>Summary.</w:t>
            </w:r>
            <w:r w:rsidRPr="002B2CF9">
              <w:rPr>
                <w:rFonts w:ascii="Times New Roman" w:eastAsia="Times New Roman" w:hAnsi="Times New Roman" w:cs="Times New Roman"/>
                <w:sz w:val="24"/>
                <w:szCs w:val="24"/>
                <w:lang w:val="en-US" w:eastAsia="ru-RU"/>
              </w:rPr>
              <w:t xml:space="preserve"> There are the results of two years field research aimed to determine the influence of drugs «Nutri-Fait» PK and «Spartan», applied in a tank mixture of pesticides on yield and quality of technical grape varieties Cabernet Sauvignon. It is shown that the use of these drugs during the processing of grapes increases the yield by 11,8 % (up to 11,4 t / ha) in a South Coast of Crimea.</w:t>
            </w:r>
          </w:p>
          <w:p w:rsidR="002B2CF9" w:rsidRPr="002B2CF9" w:rsidRDefault="002B2CF9" w:rsidP="002B2CF9">
            <w:pPr>
              <w:spacing w:after="0" w:line="240" w:lineRule="auto"/>
              <w:jc w:val="both"/>
              <w:rPr>
                <w:rFonts w:ascii="Times New Roman" w:eastAsia="Times New Roman" w:hAnsi="Times New Roman" w:cs="Times New Roman"/>
                <w:b/>
                <w:sz w:val="30"/>
                <w:szCs w:val="30"/>
                <w:lang w:val="en-US" w:eastAsia="ru-RU"/>
              </w:rPr>
            </w:pPr>
          </w:p>
        </w:tc>
      </w:tr>
      <w:tr w:rsidR="002B2CF9" w:rsidRPr="002B2CF9" w:rsidTr="00D539E6">
        <w:trPr>
          <w:jc w:val="center"/>
        </w:trPr>
        <w:tc>
          <w:tcPr>
            <w:tcW w:w="4544" w:type="dxa"/>
            <w:shd w:val="clear" w:color="auto" w:fill="auto"/>
          </w:tcPr>
          <w:p w:rsidR="002B2CF9" w:rsidRPr="002B2CF9" w:rsidRDefault="002B2CF9" w:rsidP="002B2CF9">
            <w:pPr>
              <w:spacing w:after="0" w:line="240" w:lineRule="auto"/>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b/>
                <w:sz w:val="24"/>
                <w:szCs w:val="24"/>
                <w:lang w:eastAsia="ru-RU"/>
              </w:rPr>
              <w:t>Ключевые слова:</w:t>
            </w:r>
            <w:r w:rsidRPr="002B2CF9">
              <w:rPr>
                <w:rFonts w:ascii="Times New Roman" w:eastAsia="Times New Roman" w:hAnsi="Times New Roman" w:cs="Times New Roman"/>
                <w:sz w:val="24"/>
                <w:szCs w:val="24"/>
                <w:lang w:eastAsia="ru-RU"/>
              </w:rPr>
              <w:t xml:space="preserve"> виноград, комплексное удобрение, прилипатель, некорневые подкормки, урожайность, качество винограда</w:t>
            </w:r>
          </w:p>
        </w:tc>
        <w:tc>
          <w:tcPr>
            <w:tcW w:w="4527" w:type="dxa"/>
            <w:shd w:val="clear" w:color="auto" w:fill="auto"/>
          </w:tcPr>
          <w:p w:rsidR="002B2CF9" w:rsidRPr="002B2CF9" w:rsidRDefault="002B2CF9" w:rsidP="002B2CF9">
            <w:pPr>
              <w:spacing w:after="0" w:line="240" w:lineRule="auto"/>
              <w:ind w:right="-1"/>
              <w:jc w:val="both"/>
              <w:rPr>
                <w:rFonts w:ascii="Times New Roman" w:eastAsia="Times New Roman" w:hAnsi="Times New Roman" w:cs="Times New Roman"/>
                <w:sz w:val="30"/>
                <w:szCs w:val="30"/>
                <w:highlight w:val="yellow"/>
                <w:lang w:val="en-US" w:eastAsia="ru-RU"/>
              </w:rPr>
            </w:pPr>
            <w:r w:rsidRPr="002B2CF9">
              <w:rPr>
                <w:rFonts w:ascii="Times New Roman" w:eastAsia="Times New Roman" w:hAnsi="Times New Roman" w:cs="Times New Roman"/>
                <w:b/>
                <w:sz w:val="24"/>
                <w:szCs w:val="24"/>
                <w:lang w:val="en-US" w:eastAsia="ru-RU"/>
              </w:rPr>
              <w:t>Keywords:</w:t>
            </w:r>
            <w:r w:rsidRPr="002B2CF9">
              <w:rPr>
                <w:rFonts w:ascii="Times New Roman" w:eastAsia="Times New Roman" w:hAnsi="Times New Roman" w:cs="Times New Roman"/>
                <w:sz w:val="24"/>
                <w:szCs w:val="24"/>
                <w:lang w:val="en-US" w:eastAsia="ru-RU"/>
              </w:rPr>
              <w:t xml:space="preserve"> grapes, complex fertilizer, adhesive, spray fertilization, yield, grape quality.</w:t>
            </w:r>
          </w:p>
          <w:p w:rsidR="002B2CF9" w:rsidRPr="002B2CF9" w:rsidRDefault="002B2CF9" w:rsidP="002B2CF9">
            <w:pPr>
              <w:spacing w:after="0" w:line="240" w:lineRule="auto"/>
              <w:jc w:val="both"/>
              <w:rPr>
                <w:rFonts w:ascii="Times New Roman" w:eastAsia="Times New Roman" w:hAnsi="Times New Roman" w:cs="Times New Roman"/>
                <w:b/>
                <w:sz w:val="30"/>
                <w:szCs w:val="30"/>
                <w:lang w:val="en-US" w:eastAsia="ru-RU"/>
              </w:rPr>
            </w:pPr>
          </w:p>
        </w:tc>
      </w:tr>
    </w:tbl>
    <w:p w:rsidR="002B2CF9" w:rsidRPr="002B2CF9" w:rsidRDefault="002B2CF9" w:rsidP="002B2CF9">
      <w:pPr>
        <w:spacing w:before="240" w:after="0" w:line="240" w:lineRule="auto"/>
        <w:ind w:firstLine="709"/>
        <w:jc w:val="both"/>
        <w:rPr>
          <w:rFonts w:ascii="Times New Roman" w:eastAsia="Times New Roman" w:hAnsi="Times New Roman" w:cs="Times New Roman"/>
          <w:spacing w:val="-4"/>
          <w:sz w:val="30"/>
          <w:szCs w:val="30"/>
          <w:lang w:eastAsia="ru-RU"/>
        </w:rPr>
      </w:pPr>
      <w:r w:rsidRPr="002B2CF9">
        <w:rPr>
          <w:rFonts w:ascii="Times New Roman" w:eastAsia="Times New Roman" w:hAnsi="Times New Roman" w:cs="Times New Roman"/>
          <w:b/>
          <w:sz w:val="30"/>
          <w:szCs w:val="30"/>
          <w:lang w:eastAsia="ru-RU"/>
        </w:rPr>
        <w:t>Введение.</w:t>
      </w:r>
      <w:r w:rsidRPr="002B2CF9">
        <w:rPr>
          <w:rFonts w:ascii="Times New Roman" w:eastAsia="Times New Roman" w:hAnsi="Times New Roman" w:cs="Times New Roman"/>
          <w:sz w:val="30"/>
          <w:szCs w:val="30"/>
          <w:lang w:eastAsia="ru-RU"/>
        </w:rPr>
        <w:t xml:space="preserve"> Виноградное растение на протяжении вегетационного периода сталкивается со многими факторами, препятствующими реализации его биологического потенциала. В настоящее время наращиваются объемы научных разработок прогрессивных технологий, повышающих эффективность производства винограда. Приоритетным направлением исследований является применение комплексных удобрений для внекорневых подкормок и поверхностно-активных веществ (ПАВ) в баковой смеси пестицидов, что представляется экономически эффективным и экологически безопасным приемом получения высоких урожаев и качественной продукции. Обоснование </w:t>
      </w:r>
      <w:r w:rsidRPr="002B2CF9">
        <w:rPr>
          <w:rFonts w:ascii="Times New Roman" w:eastAsia="Times New Roman" w:hAnsi="Times New Roman" w:cs="Times New Roman"/>
          <w:spacing w:val="-4"/>
          <w:sz w:val="30"/>
          <w:szCs w:val="30"/>
          <w:lang w:eastAsia="ru-RU"/>
        </w:rPr>
        <w:t xml:space="preserve">систем повышения продуктивности виноградников при оптимизации </w:t>
      </w:r>
      <w:r w:rsidRPr="002B2CF9">
        <w:rPr>
          <w:rFonts w:ascii="Times New Roman" w:eastAsia="Times New Roman" w:hAnsi="Times New Roman" w:cs="Times New Roman"/>
          <w:spacing w:val="-4"/>
          <w:sz w:val="30"/>
          <w:szCs w:val="30"/>
          <w:lang w:eastAsia="ru-RU"/>
        </w:rPr>
        <w:lastRenderedPageBreak/>
        <w:t>применения удобрений и ПАВ обусловлены требованиями отрасли и определяют актуальность исследований [1, 2, 3, 4, 5, 6, 9, 12].</w:t>
      </w:r>
    </w:p>
    <w:p w:rsidR="002B2CF9" w:rsidRPr="002B2CF9" w:rsidRDefault="002B2CF9" w:rsidP="002B2CF9">
      <w:pPr>
        <w:spacing w:after="0" w:line="240" w:lineRule="auto"/>
        <w:ind w:firstLine="709"/>
        <w:jc w:val="both"/>
        <w:rPr>
          <w:rFonts w:ascii="Times New Roman" w:eastAsia="Times New Roman" w:hAnsi="Times New Roman" w:cs="Times New Roman"/>
          <w:sz w:val="30"/>
          <w:szCs w:val="30"/>
          <w:lang w:eastAsia="ru-RU"/>
        </w:rPr>
      </w:pPr>
      <w:r w:rsidRPr="002B2CF9">
        <w:rPr>
          <w:rFonts w:ascii="Times New Roman" w:eastAsia="Times New Roman" w:hAnsi="Times New Roman" w:cs="Times New Roman"/>
          <w:sz w:val="30"/>
          <w:szCs w:val="30"/>
          <w:lang w:eastAsia="ru-RU"/>
        </w:rPr>
        <w:t>Цель наших исследований заключалась в изучении влияния удобрения Нутри-Файт РК и прилипателя Спартан при их использовании в баковой смеси пестицидов на агробиологические, количественные и качественные показатели урожая винограда.</w:t>
      </w:r>
    </w:p>
    <w:p w:rsidR="002B2CF9" w:rsidRPr="002B2CF9" w:rsidRDefault="002B2CF9" w:rsidP="002B2CF9">
      <w:pPr>
        <w:spacing w:after="0" w:line="240" w:lineRule="auto"/>
        <w:ind w:firstLine="709"/>
        <w:jc w:val="both"/>
        <w:rPr>
          <w:rFonts w:ascii="Times New Roman" w:eastAsia="Times New Roman" w:hAnsi="Times New Roman" w:cs="Times New Roman"/>
          <w:b/>
          <w:sz w:val="30"/>
          <w:szCs w:val="30"/>
          <w:lang w:eastAsia="ru-RU"/>
        </w:rPr>
      </w:pPr>
      <w:r w:rsidRPr="002B2CF9">
        <w:rPr>
          <w:rFonts w:ascii="Times New Roman" w:eastAsia="Times New Roman" w:hAnsi="Times New Roman" w:cs="Times New Roman"/>
          <w:b/>
          <w:sz w:val="30"/>
          <w:szCs w:val="30"/>
          <w:lang w:eastAsia="ru-RU"/>
        </w:rPr>
        <w:t xml:space="preserve">Объекты и методы исследований. </w:t>
      </w:r>
      <w:r w:rsidRPr="002B2CF9">
        <w:rPr>
          <w:rFonts w:ascii="Times New Roman" w:eastAsia="Times New Roman" w:hAnsi="Times New Roman" w:cs="Times New Roman"/>
          <w:sz w:val="30"/>
          <w:szCs w:val="30"/>
          <w:lang w:eastAsia="ru-RU"/>
        </w:rPr>
        <w:t>Полевые исследования проводились в 2015–2016 гг. на промышленных виноградных насаждениях сорта Каберне-Совиньон в условиях Южнобережной зоны виноградарства Крыма, на базе ФГУП «ПАО «Массандра» (филиал «Алушта»). Подвой Кобер 5ББ. Схема посадки растений 3 × 1,5 м. Формировка кустов – высокоштамбовый одноплечий кордон. Способ полива – капельный, по бороздам.</w:t>
      </w:r>
    </w:p>
    <w:p w:rsidR="002B2CF9" w:rsidRPr="002B2CF9" w:rsidRDefault="002B2CF9" w:rsidP="002B2CF9">
      <w:pPr>
        <w:spacing w:after="0" w:line="240" w:lineRule="auto"/>
        <w:ind w:firstLine="709"/>
        <w:jc w:val="both"/>
        <w:rPr>
          <w:rFonts w:ascii="Times New Roman" w:eastAsia="Times New Roman" w:hAnsi="Times New Roman" w:cs="Times New Roman"/>
          <w:spacing w:val="-4"/>
          <w:sz w:val="30"/>
          <w:szCs w:val="30"/>
          <w:lang w:eastAsia="ru-RU"/>
        </w:rPr>
      </w:pPr>
      <w:r w:rsidRPr="002B2CF9">
        <w:rPr>
          <w:rFonts w:ascii="Times New Roman" w:eastAsia="Times New Roman" w:hAnsi="Times New Roman" w:cs="Times New Roman"/>
          <w:sz w:val="30"/>
          <w:szCs w:val="30"/>
          <w:lang w:eastAsia="ru-RU"/>
        </w:rPr>
        <w:t xml:space="preserve">Нутри-Файт РК – многофункциональное комплексное удобрение для </w:t>
      </w:r>
      <w:r w:rsidRPr="002B2CF9">
        <w:rPr>
          <w:rFonts w:ascii="Times New Roman" w:eastAsia="Times New Roman" w:hAnsi="Times New Roman" w:cs="Times New Roman"/>
          <w:spacing w:val="-4"/>
          <w:sz w:val="30"/>
          <w:szCs w:val="30"/>
          <w:lang w:eastAsia="ru-RU"/>
        </w:rPr>
        <w:t xml:space="preserve">внекорневой подкормки, состоящее из </w:t>
      </w:r>
      <w:r w:rsidRPr="002B2CF9">
        <w:rPr>
          <w:rFonts w:ascii="Times New Roman" w:eastAsia="Times New Roman" w:hAnsi="Times New Roman" w:cs="Times New Roman"/>
          <w:spacing w:val="-4"/>
          <w:sz w:val="30"/>
          <w:szCs w:val="30"/>
          <w:lang w:val="en-US" w:eastAsia="ru-RU"/>
        </w:rPr>
        <w:t>P</w:t>
      </w:r>
      <w:r w:rsidRPr="002B2CF9">
        <w:rPr>
          <w:rFonts w:ascii="Times New Roman" w:eastAsia="Times New Roman" w:hAnsi="Times New Roman" w:cs="Times New Roman"/>
          <w:spacing w:val="-4"/>
          <w:sz w:val="30"/>
          <w:szCs w:val="30"/>
          <w:lang w:eastAsia="ru-RU"/>
        </w:rPr>
        <w:t xml:space="preserve">-28 %, </w:t>
      </w:r>
      <w:r w:rsidRPr="002B2CF9">
        <w:rPr>
          <w:rFonts w:ascii="Times New Roman" w:eastAsia="Times New Roman" w:hAnsi="Times New Roman" w:cs="Times New Roman"/>
          <w:spacing w:val="-4"/>
          <w:sz w:val="30"/>
          <w:szCs w:val="30"/>
          <w:lang w:val="en-US" w:eastAsia="ru-RU"/>
        </w:rPr>
        <w:t>K</w:t>
      </w:r>
      <w:r w:rsidRPr="002B2CF9">
        <w:rPr>
          <w:rFonts w:ascii="Times New Roman" w:eastAsia="Times New Roman" w:hAnsi="Times New Roman" w:cs="Times New Roman"/>
          <w:spacing w:val="-4"/>
          <w:sz w:val="30"/>
          <w:szCs w:val="30"/>
          <w:lang w:eastAsia="ru-RU"/>
        </w:rPr>
        <w:t>-26 %, где фосфор представлен в виде фосфита (</w:t>
      </w:r>
      <w:r w:rsidRPr="002B2CF9">
        <w:rPr>
          <w:rFonts w:ascii="Times New Roman" w:eastAsia="Times New Roman" w:hAnsi="Times New Roman" w:cs="Times New Roman"/>
          <w:spacing w:val="-4"/>
          <w:sz w:val="30"/>
          <w:szCs w:val="30"/>
          <w:lang w:val="en-US" w:eastAsia="ru-RU"/>
        </w:rPr>
        <w:t>PO</w:t>
      </w:r>
      <w:r w:rsidRPr="002B2CF9">
        <w:rPr>
          <w:rFonts w:ascii="Times New Roman" w:eastAsia="Times New Roman" w:hAnsi="Times New Roman" w:cs="Times New Roman"/>
          <w:spacing w:val="-4"/>
          <w:sz w:val="30"/>
          <w:szCs w:val="30"/>
          <w:vertAlign w:val="subscript"/>
          <w:lang w:eastAsia="ru-RU"/>
        </w:rPr>
        <w:t>3</w:t>
      </w:r>
      <w:r w:rsidRPr="002B2CF9">
        <w:rPr>
          <w:rFonts w:ascii="Times New Roman" w:eastAsia="Times New Roman" w:hAnsi="Times New Roman" w:cs="Times New Roman"/>
          <w:spacing w:val="-4"/>
          <w:sz w:val="30"/>
          <w:szCs w:val="30"/>
          <w:lang w:eastAsia="ru-RU"/>
        </w:rPr>
        <w:t>) легкодоступного для растений. Активирует вторичный обмен веществ, повышая урожайность и качество продукции [11].</w:t>
      </w:r>
    </w:p>
    <w:p w:rsidR="002B2CF9" w:rsidRPr="002B2CF9" w:rsidRDefault="002B2CF9" w:rsidP="002B2CF9">
      <w:pPr>
        <w:spacing w:after="0" w:line="240" w:lineRule="auto"/>
        <w:ind w:firstLine="709"/>
        <w:jc w:val="both"/>
        <w:rPr>
          <w:rFonts w:ascii="Times New Roman" w:eastAsia="Times New Roman" w:hAnsi="Times New Roman" w:cs="Times New Roman"/>
          <w:spacing w:val="-4"/>
          <w:sz w:val="30"/>
          <w:szCs w:val="30"/>
          <w:lang w:eastAsia="ru-RU"/>
        </w:rPr>
      </w:pPr>
      <w:r w:rsidRPr="002B2CF9">
        <w:rPr>
          <w:rFonts w:ascii="Times New Roman" w:eastAsia="Times New Roman" w:hAnsi="Times New Roman" w:cs="Times New Roman"/>
          <w:sz w:val="30"/>
          <w:szCs w:val="30"/>
          <w:lang w:eastAsia="ru-RU"/>
        </w:rPr>
        <w:t xml:space="preserve">Спартан – новейший многофункциональный кондиционер (смягчитель) воды с мощным эффектом прилипания к листьям и усиления взаимодействия растений с внекорневыми удобрениями и препаратами средств защиты растений. </w:t>
      </w:r>
      <w:r w:rsidRPr="002B2CF9">
        <w:rPr>
          <w:rFonts w:ascii="Times New Roman" w:eastAsia="Times New Roman" w:hAnsi="Times New Roman" w:cs="Times New Roman"/>
          <w:spacing w:val="-4"/>
          <w:sz w:val="30"/>
          <w:szCs w:val="30"/>
          <w:lang w:eastAsia="ru-RU"/>
        </w:rPr>
        <w:t>Прилипатель улучшает смачивающую способность химического раствора за счет снижения поверхностного натяжения, т.е. одна отдельно взятая капля может покрыть значительную площадь поверхности, что позволяет вносить меньшее количество воды и препарата на 1 га, без ущерба для смачивания листьев и биологической эффективности в целом [8].</w:t>
      </w:r>
    </w:p>
    <w:p w:rsidR="002B2CF9" w:rsidRPr="002B2CF9" w:rsidRDefault="002B2CF9" w:rsidP="002B2CF9">
      <w:pPr>
        <w:spacing w:after="0" w:line="240" w:lineRule="auto"/>
        <w:ind w:firstLine="709"/>
        <w:jc w:val="both"/>
        <w:rPr>
          <w:rFonts w:ascii="Times New Roman" w:eastAsia="Times New Roman" w:hAnsi="Times New Roman" w:cs="Times New Roman"/>
          <w:sz w:val="30"/>
          <w:szCs w:val="30"/>
          <w:lang w:eastAsia="ru-RU"/>
        </w:rPr>
      </w:pPr>
      <w:r w:rsidRPr="002B2CF9">
        <w:rPr>
          <w:rFonts w:ascii="Times New Roman" w:eastAsia="Times New Roman" w:hAnsi="Times New Roman" w:cs="Times New Roman"/>
          <w:sz w:val="30"/>
          <w:szCs w:val="30"/>
          <w:lang w:eastAsia="ru-RU"/>
        </w:rPr>
        <w:t>Производственный опыт проводили по схеме: эталон – обработки пестицидами без применения Нутри-Файт РК и Спартан; опыт – Нутри-Файт РК (2,25 л/га) + Спартан (2 л/га) + пестициды (табл. 1).</w:t>
      </w:r>
    </w:p>
    <w:p w:rsidR="002B2CF9" w:rsidRPr="002B2CF9" w:rsidRDefault="002B2CF9" w:rsidP="002B2CF9">
      <w:pPr>
        <w:spacing w:after="0" w:line="240" w:lineRule="auto"/>
        <w:ind w:firstLine="709"/>
        <w:jc w:val="both"/>
        <w:rPr>
          <w:rFonts w:ascii="Times New Roman" w:eastAsia="Times New Roman" w:hAnsi="Times New Roman" w:cs="Times New Roman"/>
          <w:sz w:val="30"/>
          <w:szCs w:val="30"/>
          <w:lang w:eastAsia="ru-RU"/>
        </w:rPr>
      </w:pPr>
      <w:r w:rsidRPr="002B2CF9">
        <w:rPr>
          <w:rFonts w:ascii="Times New Roman" w:eastAsia="Times New Roman" w:hAnsi="Times New Roman" w:cs="Times New Roman"/>
          <w:sz w:val="30"/>
          <w:szCs w:val="30"/>
          <w:lang w:eastAsia="ru-RU"/>
        </w:rPr>
        <w:t>Схема защиты винограда от вредных организмов предприятия состояла из семи химических опрыскиваний. Обработки опытных участков препаратами Нутри-Файт РК и Спартан в баковой смеси пестицидов проводились 3-х кратно за вегетацию винограда: (согласно шкале ВВСН) 60 стадия – начало цветения; 69 стадия – после цветения; 79 стадия – завершение формирования ягод в грозди.</w:t>
      </w:r>
    </w:p>
    <w:p w:rsidR="002B2CF9" w:rsidRPr="002B2CF9" w:rsidRDefault="002B2CF9" w:rsidP="002B2CF9">
      <w:pPr>
        <w:spacing w:after="0" w:line="240" w:lineRule="auto"/>
        <w:ind w:firstLine="709"/>
        <w:jc w:val="both"/>
        <w:rPr>
          <w:rFonts w:ascii="Times New Roman" w:eastAsia="Times New Roman" w:hAnsi="Times New Roman" w:cs="Times New Roman"/>
          <w:sz w:val="30"/>
          <w:szCs w:val="30"/>
          <w:lang w:eastAsia="ru-RU"/>
        </w:rPr>
      </w:pPr>
    </w:p>
    <w:p w:rsidR="002B2CF9" w:rsidRPr="002B2CF9" w:rsidRDefault="002B2CF9" w:rsidP="002B2CF9">
      <w:pPr>
        <w:spacing w:before="240" w:after="0" w:line="240" w:lineRule="auto"/>
        <w:ind w:firstLine="709"/>
        <w:jc w:val="right"/>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Таблица 1</w:t>
      </w:r>
    </w:p>
    <w:p w:rsidR="002B2CF9" w:rsidRPr="002B2CF9" w:rsidRDefault="002B2CF9" w:rsidP="002B2CF9">
      <w:pPr>
        <w:spacing w:after="0" w:line="240" w:lineRule="auto"/>
        <w:jc w:val="center"/>
        <w:rPr>
          <w:rFonts w:ascii="Times New Roman" w:eastAsia="Times New Roman" w:hAnsi="Times New Roman" w:cs="Times New Roman"/>
          <w:b/>
          <w:sz w:val="24"/>
          <w:szCs w:val="24"/>
          <w:lang w:eastAsia="ru-RU"/>
        </w:rPr>
      </w:pPr>
      <w:r w:rsidRPr="002B2CF9">
        <w:rPr>
          <w:rFonts w:ascii="Times New Roman" w:eastAsia="Times New Roman" w:hAnsi="Times New Roman" w:cs="Times New Roman"/>
          <w:b/>
          <w:sz w:val="24"/>
          <w:szCs w:val="24"/>
          <w:lang w:eastAsia="ru-RU"/>
        </w:rPr>
        <w:t>Схема опыта</w:t>
      </w:r>
    </w:p>
    <w:p w:rsidR="002B2CF9" w:rsidRPr="002B2CF9" w:rsidRDefault="002B2CF9" w:rsidP="002B2CF9">
      <w:pPr>
        <w:spacing w:after="12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b/>
          <w:sz w:val="24"/>
          <w:szCs w:val="24"/>
          <w:lang w:eastAsia="ru-RU"/>
        </w:rPr>
        <w:t>(филиал «Алушта, сорт Каберне-Совиньон, в среднем за 2015-2016 гг.)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2130"/>
        <w:gridCol w:w="2267"/>
      </w:tblGrid>
      <w:tr w:rsidR="002B2CF9" w:rsidRPr="002B2CF9" w:rsidTr="00D539E6">
        <w:trPr>
          <w:trHeight w:val="416"/>
          <w:jc w:val="center"/>
        </w:trPr>
        <w:tc>
          <w:tcPr>
            <w:tcW w:w="4570" w:type="dxa"/>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Вариант опыта</w:t>
            </w:r>
          </w:p>
        </w:tc>
        <w:tc>
          <w:tcPr>
            <w:tcW w:w="2130" w:type="dxa"/>
            <w:tcBorders>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Норма расхода препаратов</w:t>
            </w:r>
          </w:p>
        </w:tc>
        <w:tc>
          <w:tcPr>
            <w:tcW w:w="2267" w:type="dxa"/>
            <w:tcBorders>
              <w:lef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 xml:space="preserve">Кратность </w:t>
            </w:r>
          </w:p>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обработок</w:t>
            </w:r>
          </w:p>
        </w:tc>
      </w:tr>
      <w:tr w:rsidR="002B2CF9" w:rsidRPr="002B2CF9" w:rsidTr="00D539E6">
        <w:trPr>
          <w:trHeight w:val="200"/>
          <w:jc w:val="center"/>
        </w:trPr>
        <w:tc>
          <w:tcPr>
            <w:tcW w:w="4570" w:type="dxa"/>
          </w:tcPr>
          <w:p w:rsidR="002B2CF9" w:rsidRPr="002B2CF9" w:rsidRDefault="002B2CF9" w:rsidP="002B2CF9">
            <w:pPr>
              <w:spacing w:after="0" w:line="240" w:lineRule="auto"/>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lastRenderedPageBreak/>
              <w:t>1.</w:t>
            </w:r>
            <w:r w:rsidRPr="002B2CF9">
              <w:rPr>
                <w:rFonts w:ascii="Times New Roman" w:eastAsia="Times New Roman" w:hAnsi="Times New Roman" w:cs="Times New Roman"/>
                <w:b/>
                <w:sz w:val="24"/>
                <w:szCs w:val="24"/>
                <w:lang w:eastAsia="ru-RU"/>
              </w:rPr>
              <w:t>Эталон</w:t>
            </w:r>
            <w:r w:rsidRPr="002B2CF9">
              <w:rPr>
                <w:rFonts w:ascii="Times New Roman" w:eastAsia="Times New Roman" w:hAnsi="Times New Roman" w:cs="Times New Roman"/>
                <w:sz w:val="24"/>
                <w:szCs w:val="24"/>
                <w:lang w:eastAsia="ru-RU"/>
              </w:rPr>
              <w:t>: СЗР</w:t>
            </w:r>
          </w:p>
        </w:tc>
        <w:tc>
          <w:tcPr>
            <w:tcW w:w="2130" w:type="dxa"/>
            <w:tcBorders>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w:t>
            </w:r>
          </w:p>
        </w:tc>
        <w:tc>
          <w:tcPr>
            <w:tcW w:w="2267" w:type="dxa"/>
            <w:tcBorders>
              <w:lef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7</w:t>
            </w:r>
          </w:p>
        </w:tc>
      </w:tr>
      <w:tr w:rsidR="002B2CF9" w:rsidRPr="002B2CF9" w:rsidTr="00D539E6">
        <w:trPr>
          <w:trHeight w:val="184"/>
          <w:jc w:val="center"/>
        </w:trPr>
        <w:tc>
          <w:tcPr>
            <w:tcW w:w="4570" w:type="dxa"/>
          </w:tcPr>
          <w:p w:rsidR="002B2CF9" w:rsidRPr="002B2CF9" w:rsidRDefault="002B2CF9" w:rsidP="002B2CF9">
            <w:pPr>
              <w:spacing w:after="0" w:line="240" w:lineRule="auto"/>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2.</w:t>
            </w:r>
            <w:r w:rsidRPr="002B2CF9">
              <w:rPr>
                <w:rFonts w:ascii="Times New Roman" w:eastAsia="Times New Roman" w:hAnsi="Times New Roman" w:cs="Times New Roman"/>
                <w:b/>
                <w:sz w:val="24"/>
                <w:szCs w:val="24"/>
                <w:lang w:eastAsia="ru-RU"/>
              </w:rPr>
              <w:t>Опыт</w:t>
            </w:r>
            <w:r w:rsidRPr="002B2CF9">
              <w:rPr>
                <w:rFonts w:ascii="Times New Roman" w:eastAsia="Times New Roman" w:hAnsi="Times New Roman" w:cs="Times New Roman"/>
                <w:sz w:val="24"/>
                <w:szCs w:val="24"/>
                <w:lang w:eastAsia="ru-RU"/>
              </w:rPr>
              <w:t>: СЗР + Нутри-Файт РК + Спартан</w:t>
            </w:r>
          </w:p>
        </w:tc>
        <w:tc>
          <w:tcPr>
            <w:tcW w:w="2130" w:type="dxa"/>
            <w:tcBorders>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2,25 л/га + 0,02 %</w:t>
            </w:r>
          </w:p>
        </w:tc>
        <w:tc>
          <w:tcPr>
            <w:tcW w:w="2267" w:type="dxa"/>
            <w:tcBorders>
              <w:lef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3</w:t>
            </w:r>
          </w:p>
        </w:tc>
      </w:tr>
    </w:tbl>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Примечание: СЗР – средства защиты растений.</w:t>
      </w:r>
    </w:p>
    <w:p w:rsidR="002B2CF9" w:rsidRPr="002B2CF9" w:rsidRDefault="002B2CF9" w:rsidP="002B2CF9">
      <w:pPr>
        <w:spacing w:before="240" w:after="0" w:line="240" w:lineRule="auto"/>
        <w:ind w:firstLine="709"/>
        <w:jc w:val="both"/>
        <w:rPr>
          <w:rFonts w:ascii="Times New Roman" w:eastAsia="Times New Roman" w:hAnsi="Times New Roman" w:cs="Times New Roman"/>
          <w:sz w:val="30"/>
          <w:szCs w:val="30"/>
          <w:lang w:eastAsia="ru-RU"/>
        </w:rPr>
      </w:pPr>
      <w:r w:rsidRPr="002B2CF9">
        <w:rPr>
          <w:rFonts w:ascii="Times New Roman" w:eastAsia="Times New Roman" w:hAnsi="Times New Roman" w:cs="Times New Roman"/>
          <w:sz w:val="28"/>
          <w:szCs w:val="28"/>
          <w:lang w:eastAsia="ru-RU"/>
        </w:rPr>
        <w:t xml:space="preserve">Обработки проводились вентиляторным опрыскивателем ОПВ – 2000, с нормой расхода рабочей жидкости 1000 л/га. </w:t>
      </w:r>
      <w:r w:rsidRPr="002B2CF9">
        <w:rPr>
          <w:rFonts w:ascii="Times New Roman" w:eastAsia="Times New Roman" w:hAnsi="Times New Roman" w:cs="Times New Roman"/>
          <w:sz w:val="30"/>
          <w:szCs w:val="30"/>
          <w:lang w:eastAsia="ru-RU"/>
        </w:rPr>
        <w:t>При исследованиях использовались общепринятые методы, применяемые в виноградарстве [7, 10].</w:t>
      </w:r>
    </w:p>
    <w:p w:rsidR="002B2CF9" w:rsidRPr="002B2CF9" w:rsidRDefault="002B2CF9" w:rsidP="002B2CF9">
      <w:pPr>
        <w:spacing w:after="0" w:line="240" w:lineRule="auto"/>
        <w:ind w:firstLine="709"/>
        <w:jc w:val="both"/>
        <w:rPr>
          <w:rFonts w:ascii="Times New Roman" w:eastAsia="Times New Roman" w:hAnsi="Times New Roman" w:cs="Times New Roman"/>
          <w:sz w:val="30"/>
          <w:szCs w:val="30"/>
          <w:lang w:eastAsia="ru-RU"/>
        </w:rPr>
      </w:pPr>
      <w:r w:rsidRPr="002B2CF9">
        <w:rPr>
          <w:rFonts w:ascii="Times New Roman" w:eastAsia="Times New Roman" w:hAnsi="Times New Roman" w:cs="Times New Roman"/>
          <w:b/>
          <w:sz w:val="30"/>
          <w:szCs w:val="30"/>
          <w:lang w:eastAsia="ru-RU"/>
        </w:rPr>
        <w:t>Обсуждение результатов.</w:t>
      </w:r>
      <w:r w:rsidRPr="002B2CF9">
        <w:rPr>
          <w:rFonts w:ascii="Times New Roman" w:eastAsia="Times New Roman" w:hAnsi="Times New Roman" w:cs="Times New Roman"/>
          <w:b/>
          <w:i/>
          <w:sz w:val="30"/>
          <w:szCs w:val="30"/>
          <w:lang w:eastAsia="ru-RU"/>
        </w:rPr>
        <w:t xml:space="preserve"> </w:t>
      </w:r>
      <w:r w:rsidRPr="002B2CF9">
        <w:rPr>
          <w:rFonts w:ascii="Times New Roman" w:eastAsia="Times New Roman" w:hAnsi="Times New Roman" w:cs="Times New Roman"/>
          <w:sz w:val="30"/>
          <w:szCs w:val="30"/>
          <w:lang w:eastAsia="ru-RU"/>
        </w:rPr>
        <w:t>При проведении наших исследований в 2015–2016 гг. существенной разницы по агробиологическим показателям виноградных растений не отмечали, опыт был заложен на одном агротехническом фоне</w:t>
      </w:r>
      <w:r w:rsidRPr="002B2CF9">
        <w:rPr>
          <w:rFonts w:ascii="Times New Roman" w:eastAsia="Times New Roman" w:hAnsi="Times New Roman" w:cs="Times New Roman"/>
          <w:spacing w:val="-4"/>
          <w:sz w:val="30"/>
          <w:szCs w:val="30"/>
          <w:lang w:eastAsia="ru-RU"/>
        </w:rPr>
        <w:t>. Так, нагрузка кустов гроздями на опытном варианте и эталоне оказалась на одном уровне – 39,7 – 40,2 шт. (табл. 2).</w:t>
      </w:r>
      <w:r w:rsidRPr="002B2CF9">
        <w:rPr>
          <w:rFonts w:ascii="Times New Roman" w:eastAsia="Times New Roman" w:hAnsi="Times New Roman" w:cs="Times New Roman"/>
          <w:sz w:val="30"/>
          <w:szCs w:val="30"/>
          <w:lang w:eastAsia="ru-RU"/>
        </w:rPr>
        <w:t xml:space="preserve"> Следовательно, прибавка урожая винограда зависела только от массы грозди.</w:t>
      </w:r>
    </w:p>
    <w:p w:rsidR="002B2CF9" w:rsidRPr="002B2CF9" w:rsidRDefault="002B2CF9" w:rsidP="002B2CF9">
      <w:pPr>
        <w:spacing w:before="120" w:after="0" w:line="240" w:lineRule="auto"/>
        <w:ind w:firstLine="709"/>
        <w:jc w:val="right"/>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Таблица 2</w:t>
      </w:r>
    </w:p>
    <w:p w:rsidR="002B2CF9" w:rsidRPr="002B2CF9" w:rsidRDefault="002B2CF9" w:rsidP="002B2CF9">
      <w:pPr>
        <w:spacing w:after="0" w:line="240" w:lineRule="auto"/>
        <w:jc w:val="center"/>
        <w:rPr>
          <w:rFonts w:ascii="Times New Roman" w:eastAsia="Times New Roman" w:hAnsi="Times New Roman" w:cs="Times New Roman"/>
          <w:b/>
          <w:sz w:val="24"/>
          <w:szCs w:val="24"/>
          <w:lang w:eastAsia="ru-RU"/>
        </w:rPr>
      </w:pPr>
      <w:r w:rsidRPr="002B2CF9">
        <w:rPr>
          <w:rFonts w:ascii="Times New Roman" w:eastAsia="Times New Roman" w:hAnsi="Times New Roman" w:cs="Times New Roman"/>
          <w:b/>
          <w:sz w:val="24"/>
          <w:szCs w:val="24"/>
          <w:lang w:eastAsia="ru-RU"/>
        </w:rPr>
        <w:t>Агробиологические показатели винограда на опытном участке</w:t>
      </w:r>
    </w:p>
    <w:p w:rsidR="002B2CF9" w:rsidRPr="002B2CF9" w:rsidRDefault="002B2CF9" w:rsidP="002B2CF9">
      <w:pPr>
        <w:spacing w:after="120" w:line="240" w:lineRule="auto"/>
        <w:jc w:val="center"/>
        <w:rPr>
          <w:rFonts w:ascii="Times New Roman" w:eastAsia="Times New Roman" w:hAnsi="Times New Roman" w:cs="Times New Roman"/>
          <w:b/>
          <w:sz w:val="24"/>
          <w:szCs w:val="24"/>
          <w:lang w:eastAsia="ru-RU"/>
        </w:rPr>
      </w:pPr>
      <w:r w:rsidRPr="002B2CF9">
        <w:rPr>
          <w:rFonts w:ascii="Times New Roman" w:eastAsia="Times New Roman" w:hAnsi="Times New Roman" w:cs="Times New Roman"/>
          <w:b/>
          <w:sz w:val="24"/>
          <w:szCs w:val="24"/>
          <w:lang w:eastAsia="ru-RU"/>
        </w:rPr>
        <w:t>(филиал «Алушта, сорт Каберне-Совиньон, в среднем за 2015-2016 гг.)</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1168"/>
        <w:gridCol w:w="783"/>
        <w:gridCol w:w="695"/>
        <w:gridCol w:w="833"/>
        <w:gridCol w:w="834"/>
        <w:gridCol w:w="1250"/>
        <w:gridCol w:w="992"/>
        <w:gridCol w:w="815"/>
      </w:tblGrid>
      <w:tr w:rsidR="002B2CF9" w:rsidRPr="002B2CF9" w:rsidTr="00D539E6">
        <w:trPr>
          <w:trHeight w:val="199"/>
          <w:jc w:val="center"/>
        </w:trPr>
        <w:tc>
          <w:tcPr>
            <w:tcW w:w="1662" w:type="dxa"/>
            <w:vMerge w:val="restart"/>
            <w:tcBorders>
              <w:top w:val="single" w:sz="4" w:space="0" w:color="auto"/>
              <w:left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Вариант</w:t>
            </w:r>
          </w:p>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опыта</w:t>
            </w:r>
          </w:p>
        </w:tc>
        <w:tc>
          <w:tcPr>
            <w:tcW w:w="1168" w:type="dxa"/>
            <w:vMerge w:val="restart"/>
            <w:tcBorders>
              <w:top w:val="single" w:sz="4" w:space="0" w:color="auto"/>
              <w:left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Нагрузка куста,</w:t>
            </w:r>
          </w:p>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гл.</w:t>
            </w:r>
          </w:p>
        </w:tc>
        <w:tc>
          <w:tcPr>
            <w:tcW w:w="1478" w:type="dxa"/>
            <w:gridSpan w:val="2"/>
            <w:vMerge w:val="restart"/>
            <w:tcBorders>
              <w:top w:val="single" w:sz="4" w:space="0" w:color="auto"/>
              <w:left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Развилось побегов</w:t>
            </w:r>
          </w:p>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на куст</w:t>
            </w:r>
          </w:p>
        </w:tc>
        <w:tc>
          <w:tcPr>
            <w:tcW w:w="1667" w:type="dxa"/>
            <w:gridSpan w:val="2"/>
            <w:vMerge w:val="restart"/>
            <w:tcBorders>
              <w:top w:val="single" w:sz="4" w:space="0" w:color="auto"/>
              <w:left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Плодоносные побеги</w:t>
            </w:r>
          </w:p>
        </w:tc>
        <w:tc>
          <w:tcPr>
            <w:tcW w:w="1250" w:type="dxa"/>
            <w:vMerge w:val="restart"/>
            <w:tcBorders>
              <w:top w:val="single" w:sz="4" w:space="0" w:color="auto"/>
              <w:left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Соцветий, шт./куст</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vertAlign w:val="subscript"/>
                <w:lang w:eastAsia="ru-RU"/>
              </w:rPr>
            </w:pPr>
            <w:r w:rsidRPr="002B2CF9">
              <w:rPr>
                <w:rFonts w:ascii="Times New Roman" w:eastAsia="Times New Roman" w:hAnsi="Times New Roman" w:cs="Times New Roman"/>
                <w:sz w:val="24"/>
                <w:szCs w:val="24"/>
                <w:lang w:eastAsia="ru-RU"/>
              </w:rPr>
              <w:t>Коэффициенты</w:t>
            </w:r>
          </w:p>
        </w:tc>
      </w:tr>
      <w:tr w:rsidR="002B2CF9" w:rsidRPr="002B2CF9" w:rsidTr="00D539E6">
        <w:trPr>
          <w:trHeight w:val="450"/>
          <w:jc w:val="center"/>
        </w:trPr>
        <w:tc>
          <w:tcPr>
            <w:tcW w:w="1662" w:type="dxa"/>
            <w:vMerge/>
            <w:tcBorders>
              <w:left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p>
        </w:tc>
        <w:tc>
          <w:tcPr>
            <w:tcW w:w="1168" w:type="dxa"/>
            <w:vMerge/>
            <w:tcBorders>
              <w:left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p>
        </w:tc>
        <w:tc>
          <w:tcPr>
            <w:tcW w:w="1478" w:type="dxa"/>
            <w:gridSpan w:val="2"/>
            <w:vMerge/>
            <w:tcBorders>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p>
        </w:tc>
        <w:tc>
          <w:tcPr>
            <w:tcW w:w="1667" w:type="dxa"/>
            <w:gridSpan w:val="2"/>
            <w:vMerge/>
            <w:tcBorders>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p>
        </w:tc>
        <w:tc>
          <w:tcPr>
            <w:tcW w:w="1250" w:type="dxa"/>
            <w:vMerge/>
            <w:tcBorders>
              <w:left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(К</w:t>
            </w:r>
            <w:r w:rsidRPr="002B2CF9">
              <w:rPr>
                <w:rFonts w:ascii="Times New Roman" w:eastAsia="Times New Roman" w:hAnsi="Times New Roman" w:cs="Times New Roman"/>
                <w:sz w:val="24"/>
                <w:szCs w:val="24"/>
                <w:vertAlign w:val="subscript"/>
                <w:lang w:eastAsia="ru-RU"/>
              </w:rPr>
              <w:t>1</w:t>
            </w:r>
            <w:r w:rsidRPr="002B2CF9">
              <w:rPr>
                <w:rFonts w:ascii="Times New Roman" w:eastAsia="Times New Roman" w:hAnsi="Times New Roman" w:cs="Times New Roman"/>
                <w:sz w:val="24"/>
                <w:szCs w:val="24"/>
                <w:lang w:eastAsia="ru-RU"/>
              </w:rPr>
              <w:t>)</w:t>
            </w:r>
          </w:p>
        </w:tc>
        <w:tc>
          <w:tcPr>
            <w:tcW w:w="815" w:type="dxa"/>
            <w:vMerge w:val="restart"/>
            <w:tcBorders>
              <w:top w:val="single" w:sz="4" w:space="0" w:color="auto"/>
              <w:left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(К</w:t>
            </w:r>
            <w:r w:rsidRPr="002B2CF9">
              <w:rPr>
                <w:rFonts w:ascii="Times New Roman" w:eastAsia="Times New Roman" w:hAnsi="Times New Roman" w:cs="Times New Roman"/>
                <w:sz w:val="24"/>
                <w:szCs w:val="24"/>
                <w:vertAlign w:val="subscript"/>
                <w:lang w:eastAsia="ru-RU"/>
              </w:rPr>
              <w:t>2</w:t>
            </w:r>
            <w:r w:rsidRPr="002B2CF9">
              <w:rPr>
                <w:rFonts w:ascii="Times New Roman" w:eastAsia="Times New Roman" w:hAnsi="Times New Roman" w:cs="Times New Roman"/>
                <w:sz w:val="24"/>
                <w:szCs w:val="24"/>
                <w:lang w:eastAsia="ru-RU"/>
              </w:rPr>
              <w:t>)</w:t>
            </w:r>
          </w:p>
        </w:tc>
      </w:tr>
      <w:tr w:rsidR="002B2CF9" w:rsidRPr="002B2CF9" w:rsidTr="00D539E6">
        <w:trPr>
          <w:trHeight w:val="60"/>
          <w:jc w:val="center"/>
        </w:trPr>
        <w:tc>
          <w:tcPr>
            <w:tcW w:w="1662" w:type="dxa"/>
            <w:vMerge/>
            <w:tcBorders>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p>
        </w:tc>
        <w:tc>
          <w:tcPr>
            <w:tcW w:w="1168" w:type="dxa"/>
            <w:vMerge/>
            <w:tcBorders>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p>
        </w:tc>
        <w:tc>
          <w:tcPr>
            <w:tcW w:w="783" w:type="dxa"/>
            <w:tcBorders>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шт.</w:t>
            </w:r>
          </w:p>
        </w:tc>
        <w:tc>
          <w:tcPr>
            <w:tcW w:w="695" w:type="dxa"/>
            <w:tcBorders>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w:t>
            </w:r>
          </w:p>
        </w:tc>
        <w:tc>
          <w:tcPr>
            <w:tcW w:w="833" w:type="dxa"/>
            <w:tcBorders>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шт.</w:t>
            </w:r>
          </w:p>
        </w:tc>
        <w:tc>
          <w:tcPr>
            <w:tcW w:w="834" w:type="dxa"/>
            <w:tcBorders>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w:t>
            </w:r>
          </w:p>
        </w:tc>
        <w:tc>
          <w:tcPr>
            <w:tcW w:w="1250" w:type="dxa"/>
            <w:vMerge/>
            <w:tcBorders>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p>
        </w:tc>
        <w:tc>
          <w:tcPr>
            <w:tcW w:w="815" w:type="dxa"/>
            <w:vMerge/>
            <w:tcBorders>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p>
        </w:tc>
      </w:tr>
      <w:tr w:rsidR="002B2CF9" w:rsidRPr="002B2CF9" w:rsidTr="00D539E6">
        <w:trPr>
          <w:trHeight w:val="234"/>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b/>
                <w:bCs/>
                <w:sz w:val="24"/>
                <w:szCs w:val="24"/>
                <w:lang w:eastAsia="ru-RU"/>
              </w:rPr>
            </w:pPr>
            <w:r w:rsidRPr="002B2CF9">
              <w:rPr>
                <w:rFonts w:ascii="Times New Roman" w:eastAsia="Times New Roman" w:hAnsi="Times New Roman" w:cs="Times New Roman"/>
                <w:sz w:val="24"/>
                <w:szCs w:val="24"/>
                <w:lang w:eastAsia="ru-RU"/>
              </w:rPr>
              <w:t>Эталон</w:t>
            </w:r>
          </w:p>
        </w:tc>
        <w:tc>
          <w:tcPr>
            <w:tcW w:w="1168"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29,8</w:t>
            </w:r>
          </w:p>
        </w:tc>
        <w:tc>
          <w:tcPr>
            <w:tcW w:w="783"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28</w:t>
            </w:r>
          </w:p>
        </w:tc>
        <w:tc>
          <w:tcPr>
            <w:tcW w:w="695"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93,9</w:t>
            </w:r>
          </w:p>
        </w:tc>
        <w:tc>
          <w:tcPr>
            <w:tcW w:w="833"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23,2</w:t>
            </w:r>
          </w:p>
        </w:tc>
        <w:tc>
          <w:tcPr>
            <w:tcW w:w="834"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77,9</w:t>
            </w:r>
          </w:p>
        </w:tc>
        <w:tc>
          <w:tcPr>
            <w:tcW w:w="1250"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39,7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1,4</w:t>
            </w:r>
          </w:p>
        </w:tc>
        <w:tc>
          <w:tcPr>
            <w:tcW w:w="815"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1,7</w:t>
            </w:r>
          </w:p>
        </w:tc>
      </w:tr>
      <w:tr w:rsidR="002B2CF9" w:rsidRPr="002B2CF9" w:rsidTr="00D539E6">
        <w:trPr>
          <w:trHeight w:val="234"/>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b/>
                <w:bCs/>
                <w:sz w:val="24"/>
                <w:szCs w:val="24"/>
                <w:lang w:eastAsia="ru-RU"/>
              </w:rPr>
            </w:pPr>
            <w:r w:rsidRPr="002B2CF9">
              <w:rPr>
                <w:rFonts w:ascii="Times New Roman" w:eastAsia="Times New Roman" w:hAnsi="Times New Roman" w:cs="Times New Roman"/>
                <w:sz w:val="24"/>
                <w:szCs w:val="24"/>
                <w:lang w:eastAsia="ru-RU"/>
              </w:rPr>
              <w:t>Опыт</w:t>
            </w:r>
          </w:p>
        </w:tc>
        <w:tc>
          <w:tcPr>
            <w:tcW w:w="1168"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30,1</w:t>
            </w:r>
          </w:p>
        </w:tc>
        <w:tc>
          <w:tcPr>
            <w:tcW w:w="783"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28,5</w:t>
            </w:r>
          </w:p>
        </w:tc>
        <w:tc>
          <w:tcPr>
            <w:tcW w:w="695"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94,7</w:t>
            </w:r>
          </w:p>
        </w:tc>
        <w:tc>
          <w:tcPr>
            <w:tcW w:w="833"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23,8</w:t>
            </w:r>
          </w:p>
        </w:tc>
        <w:tc>
          <w:tcPr>
            <w:tcW w:w="834"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79,1</w:t>
            </w:r>
          </w:p>
        </w:tc>
        <w:tc>
          <w:tcPr>
            <w:tcW w:w="1250"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40,2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1,4</w:t>
            </w:r>
          </w:p>
        </w:tc>
        <w:tc>
          <w:tcPr>
            <w:tcW w:w="815"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1,7</w:t>
            </w:r>
          </w:p>
        </w:tc>
      </w:tr>
      <w:tr w:rsidR="002B2CF9" w:rsidRPr="002B2CF9" w:rsidTr="00D539E6">
        <w:trPr>
          <w:trHeight w:val="234"/>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НСР</w:t>
            </w:r>
            <w:r w:rsidRPr="002B2CF9">
              <w:rPr>
                <w:rFonts w:ascii="Times New Roman" w:eastAsia="Times New Roman" w:hAnsi="Times New Roman" w:cs="Times New Roman"/>
                <w:bCs/>
                <w:sz w:val="24"/>
                <w:szCs w:val="24"/>
                <w:vertAlign w:val="subscript"/>
                <w:lang w:eastAsia="ru-RU"/>
              </w:rPr>
              <w:t>05</w:t>
            </w:r>
            <w:r w:rsidRPr="002B2CF9">
              <w:rPr>
                <w:rFonts w:ascii="Times New Roman" w:eastAsia="Times New Roman" w:hAnsi="Times New Roman" w:cs="Times New Roman"/>
                <w:bCs/>
                <w:sz w:val="24"/>
                <w:szCs w:val="24"/>
                <w:lang w:eastAsia="ru-RU"/>
              </w:rPr>
              <w:t xml:space="preserve"> 2015 г.</w:t>
            </w:r>
          </w:p>
        </w:tc>
        <w:tc>
          <w:tcPr>
            <w:tcW w:w="1168"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3,1</w:t>
            </w:r>
          </w:p>
        </w:tc>
        <w:tc>
          <w:tcPr>
            <w:tcW w:w="783"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2,8</w:t>
            </w:r>
          </w:p>
        </w:tc>
        <w:tc>
          <w:tcPr>
            <w:tcW w:w="695"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4,6</w:t>
            </w:r>
          </w:p>
        </w:tc>
        <w:tc>
          <w:tcPr>
            <w:tcW w:w="834"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w:t>
            </w:r>
          </w:p>
        </w:tc>
        <w:tc>
          <w:tcPr>
            <w:tcW w:w="1250"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6,1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eastAsia="ru-RU"/>
              </w:rPr>
              <w:t>0,1</w:t>
            </w:r>
          </w:p>
        </w:tc>
        <w:tc>
          <w:tcPr>
            <w:tcW w:w="815"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eastAsia="ru-RU"/>
              </w:rPr>
              <w:t>0,2</w:t>
            </w:r>
          </w:p>
        </w:tc>
      </w:tr>
      <w:tr w:rsidR="002B2CF9" w:rsidRPr="002B2CF9" w:rsidTr="00D539E6">
        <w:trPr>
          <w:trHeight w:val="234"/>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НСР</w:t>
            </w:r>
            <w:r w:rsidRPr="002B2CF9">
              <w:rPr>
                <w:rFonts w:ascii="Times New Roman" w:eastAsia="Times New Roman" w:hAnsi="Times New Roman" w:cs="Times New Roman"/>
                <w:bCs/>
                <w:sz w:val="24"/>
                <w:szCs w:val="24"/>
                <w:vertAlign w:val="subscript"/>
                <w:lang w:eastAsia="ru-RU"/>
              </w:rPr>
              <w:t>05</w:t>
            </w:r>
            <w:r w:rsidRPr="002B2CF9">
              <w:rPr>
                <w:rFonts w:ascii="Times New Roman" w:eastAsia="Times New Roman" w:hAnsi="Times New Roman" w:cs="Times New Roman"/>
                <w:bCs/>
                <w:sz w:val="24"/>
                <w:szCs w:val="24"/>
                <w:lang w:eastAsia="ru-RU"/>
              </w:rPr>
              <w:t xml:space="preserve"> 2016 г.</w:t>
            </w:r>
          </w:p>
        </w:tc>
        <w:tc>
          <w:tcPr>
            <w:tcW w:w="1168"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2,6</w:t>
            </w:r>
          </w:p>
        </w:tc>
        <w:tc>
          <w:tcPr>
            <w:tcW w:w="783"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2,1</w:t>
            </w:r>
          </w:p>
        </w:tc>
        <w:tc>
          <w:tcPr>
            <w:tcW w:w="695"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eastAsia="ru-RU"/>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4,4</w:t>
            </w:r>
          </w:p>
        </w:tc>
        <w:tc>
          <w:tcPr>
            <w:tcW w:w="834"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eastAsia="ru-RU"/>
              </w:rPr>
              <w:t>–</w:t>
            </w:r>
          </w:p>
        </w:tc>
        <w:tc>
          <w:tcPr>
            <w:tcW w:w="1250"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0,3</w:t>
            </w:r>
          </w:p>
        </w:tc>
        <w:tc>
          <w:tcPr>
            <w:tcW w:w="815" w:type="dxa"/>
            <w:tcBorders>
              <w:top w:val="single" w:sz="4" w:space="0" w:color="auto"/>
              <w:left w:val="single" w:sz="4" w:space="0" w:color="auto"/>
              <w:bottom w:val="single" w:sz="4" w:space="0" w:color="auto"/>
              <w:right w:val="single" w:sz="4" w:space="0" w:color="auto"/>
            </w:tcBorders>
            <w:vAlign w:val="center"/>
            <w:hideMark/>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0,2</w:t>
            </w:r>
          </w:p>
        </w:tc>
      </w:tr>
    </w:tbl>
    <w:p w:rsidR="002B2CF9" w:rsidRPr="002B2CF9" w:rsidRDefault="002B2CF9" w:rsidP="002B2CF9">
      <w:pPr>
        <w:spacing w:before="240" w:after="0" w:line="240" w:lineRule="auto"/>
        <w:ind w:firstLine="709"/>
        <w:jc w:val="both"/>
        <w:rPr>
          <w:rFonts w:ascii="Times New Roman" w:eastAsia="Times New Roman" w:hAnsi="Times New Roman" w:cs="Times New Roman"/>
          <w:sz w:val="30"/>
          <w:szCs w:val="30"/>
          <w:lang w:eastAsia="ru-RU"/>
        </w:rPr>
      </w:pPr>
      <w:r w:rsidRPr="002B2CF9">
        <w:rPr>
          <w:rFonts w:ascii="Times New Roman" w:eastAsia="Calibri" w:hAnsi="Times New Roman" w:cs="Times New Roman"/>
          <w:sz w:val="30"/>
          <w:szCs w:val="30"/>
        </w:rPr>
        <w:t xml:space="preserve">В ходе исследований определено, что в опытном варианте при обработке кустов препаратами Нутри-Файт РК и Спартан повысился урожай винограда до 5,7 кг/куст, что на 11,8 % (табл. 3) выше показателя в эталоне (5,1 кг/куст). </w:t>
      </w:r>
      <w:r w:rsidRPr="002B2CF9">
        <w:rPr>
          <w:rFonts w:ascii="Times New Roman" w:eastAsia="Times New Roman" w:hAnsi="Times New Roman" w:cs="Times New Roman"/>
          <w:sz w:val="30"/>
          <w:szCs w:val="30"/>
          <w:lang w:eastAsia="ru-RU"/>
        </w:rPr>
        <w:t xml:space="preserve">Средняя масса грозди в опыте была выше на 13,3 г (10,4 %) эталона и составляла 141,8 г. Урожайность винограда повысилась на 1,4 т/га за счет применения изучаемых препаратов. </w:t>
      </w:r>
    </w:p>
    <w:p w:rsidR="002B2CF9" w:rsidRPr="002B2CF9" w:rsidRDefault="002B2CF9" w:rsidP="002B2CF9">
      <w:pPr>
        <w:spacing w:after="0" w:line="240" w:lineRule="auto"/>
        <w:ind w:firstLine="709"/>
        <w:jc w:val="both"/>
        <w:rPr>
          <w:rFonts w:ascii="Times New Roman" w:eastAsia="Times New Roman" w:hAnsi="Times New Roman" w:cs="Times New Roman"/>
          <w:sz w:val="30"/>
          <w:szCs w:val="30"/>
          <w:lang w:eastAsia="ru-RU"/>
        </w:rPr>
      </w:pPr>
      <w:r w:rsidRPr="002B2CF9">
        <w:rPr>
          <w:rFonts w:ascii="Times New Roman" w:eastAsia="Times New Roman" w:hAnsi="Times New Roman" w:cs="Times New Roman"/>
          <w:sz w:val="30"/>
          <w:szCs w:val="30"/>
          <w:lang w:eastAsia="ru-RU"/>
        </w:rPr>
        <w:t>Согласно технологической инструкции на производство красных столовых сухих виноматериалов массовая концентрация сахаров в винограде должна составлять не менее 180 г/100 см</w:t>
      </w:r>
      <w:r w:rsidRPr="002B2CF9">
        <w:rPr>
          <w:rFonts w:ascii="Times New Roman" w:eastAsia="Times New Roman" w:hAnsi="Times New Roman" w:cs="Times New Roman"/>
          <w:sz w:val="30"/>
          <w:szCs w:val="30"/>
          <w:vertAlign w:val="superscript"/>
          <w:lang w:eastAsia="ru-RU"/>
        </w:rPr>
        <w:t>3</w:t>
      </w:r>
      <w:r w:rsidRPr="002B2CF9">
        <w:rPr>
          <w:rFonts w:ascii="Times New Roman" w:eastAsia="Times New Roman" w:hAnsi="Times New Roman" w:cs="Times New Roman"/>
          <w:sz w:val="30"/>
          <w:szCs w:val="30"/>
          <w:lang w:eastAsia="ru-RU"/>
        </w:rPr>
        <w:t xml:space="preserve">, титруемых кислот </w:t>
      </w:r>
      <w:r w:rsidRPr="002B2CF9">
        <w:rPr>
          <w:rFonts w:ascii="Times New Roman" w:eastAsia="Times New Roman" w:hAnsi="Times New Roman" w:cs="Times New Roman"/>
          <w:sz w:val="30"/>
          <w:szCs w:val="30"/>
          <w:lang w:eastAsia="ru-RU"/>
        </w:rPr>
        <w:sym w:font="Symbol" w:char="002D"/>
      </w:r>
      <w:r w:rsidRPr="002B2CF9">
        <w:rPr>
          <w:rFonts w:ascii="Times New Roman" w:eastAsia="Times New Roman" w:hAnsi="Times New Roman" w:cs="Times New Roman"/>
          <w:sz w:val="30"/>
          <w:szCs w:val="30"/>
          <w:lang w:eastAsia="ru-RU"/>
        </w:rPr>
        <w:t xml:space="preserve"> 6 – 10 г/дм</w:t>
      </w:r>
      <w:r w:rsidRPr="002B2CF9">
        <w:rPr>
          <w:rFonts w:ascii="Times New Roman" w:eastAsia="Times New Roman" w:hAnsi="Times New Roman" w:cs="Times New Roman"/>
          <w:sz w:val="30"/>
          <w:szCs w:val="30"/>
          <w:vertAlign w:val="superscript"/>
          <w:lang w:eastAsia="ru-RU"/>
        </w:rPr>
        <w:t>3</w:t>
      </w:r>
      <w:r w:rsidRPr="002B2CF9">
        <w:rPr>
          <w:rFonts w:ascii="Times New Roman" w:eastAsia="Times New Roman" w:hAnsi="Times New Roman" w:cs="Times New Roman"/>
          <w:sz w:val="30"/>
          <w:szCs w:val="30"/>
          <w:lang w:eastAsia="ru-RU"/>
        </w:rPr>
        <w:t>.</w:t>
      </w:r>
    </w:p>
    <w:p w:rsidR="002B2CF9" w:rsidRPr="002B2CF9" w:rsidRDefault="002B2CF9" w:rsidP="002B2CF9">
      <w:pPr>
        <w:spacing w:after="0" w:line="240" w:lineRule="auto"/>
        <w:ind w:firstLine="709"/>
        <w:jc w:val="both"/>
        <w:rPr>
          <w:rFonts w:ascii="Times New Roman" w:eastAsia="Times New Roman" w:hAnsi="Times New Roman" w:cs="Times New Roman"/>
          <w:sz w:val="30"/>
          <w:szCs w:val="30"/>
          <w:lang w:eastAsia="ru-RU"/>
        </w:rPr>
      </w:pPr>
    </w:p>
    <w:p w:rsidR="002B2CF9" w:rsidRPr="002B2CF9" w:rsidRDefault="002B2CF9" w:rsidP="002B2CF9">
      <w:pPr>
        <w:spacing w:before="240" w:after="0" w:line="240" w:lineRule="auto"/>
        <w:jc w:val="right"/>
        <w:rPr>
          <w:rFonts w:ascii="Times New Roman" w:eastAsia="Calibri" w:hAnsi="Times New Roman" w:cs="Times New Roman"/>
          <w:sz w:val="24"/>
          <w:szCs w:val="24"/>
        </w:rPr>
      </w:pPr>
      <w:r w:rsidRPr="002B2CF9">
        <w:rPr>
          <w:rFonts w:ascii="Times New Roman" w:eastAsia="Calibri" w:hAnsi="Times New Roman" w:cs="Times New Roman"/>
          <w:sz w:val="24"/>
          <w:szCs w:val="24"/>
        </w:rPr>
        <w:t>Таблица 3</w:t>
      </w:r>
    </w:p>
    <w:p w:rsidR="002B2CF9" w:rsidRPr="002B2CF9" w:rsidRDefault="002B2CF9" w:rsidP="002B2CF9">
      <w:pPr>
        <w:spacing w:after="0" w:line="240" w:lineRule="auto"/>
        <w:jc w:val="center"/>
        <w:rPr>
          <w:rFonts w:ascii="Times New Roman" w:eastAsia="Calibri" w:hAnsi="Times New Roman" w:cs="Times New Roman"/>
          <w:b/>
          <w:sz w:val="24"/>
          <w:szCs w:val="24"/>
        </w:rPr>
      </w:pPr>
      <w:r w:rsidRPr="002B2CF9">
        <w:rPr>
          <w:rFonts w:ascii="Times New Roman" w:eastAsia="Calibri" w:hAnsi="Times New Roman" w:cs="Times New Roman"/>
          <w:b/>
          <w:sz w:val="24"/>
          <w:szCs w:val="24"/>
        </w:rPr>
        <w:t xml:space="preserve">Продуктивность винограда под влиянием обработки кустов </w:t>
      </w:r>
    </w:p>
    <w:p w:rsidR="002B2CF9" w:rsidRPr="002B2CF9" w:rsidRDefault="002B2CF9" w:rsidP="002B2CF9">
      <w:pPr>
        <w:spacing w:after="0" w:line="240" w:lineRule="auto"/>
        <w:jc w:val="center"/>
        <w:rPr>
          <w:rFonts w:ascii="Times New Roman" w:eastAsia="Calibri" w:hAnsi="Times New Roman" w:cs="Times New Roman"/>
          <w:b/>
          <w:sz w:val="24"/>
          <w:szCs w:val="24"/>
        </w:rPr>
      </w:pPr>
      <w:r w:rsidRPr="002B2CF9">
        <w:rPr>
          <w:rFonts w:ascii="Times New Roman" w:eastAsia="Calibri" w:hAnsi="Times New Roman" w:cs="Times New Roman"/>
          <w:b/>
          <w:sz w:val="24"/>
          <w:szCs w:val="24"/>
        </w:rPr>
        <w:t>препаратами Нутри-Файт РК и Спартан</w:t>
      </w:r>
    </w:p>
    <w:p w:rsidR="002B2CF9" w:rsidRPr="002B2CF9" w:rsidRDefault="002B2CF9" w:rsidP="002B2CF9">
      <w:pPr>
        <w:spacing w:after="120" w:line="240" w:lineRule="auto"/>
        <w:jc w:val="center"/>
        <w:rPr>
          <w:rFonts w:ascii="Times New Roman" w:eastAsia="Times New Roman" w:hAnsi="Times New Roman" w:cs="Times New Roman"/>
          <w:b/>
          <w:sz w:val="24"/>
          <w:szCs w:val="24"/>
          <w:lang w:eastAsia="ru-RU"/>
        </w:rPr>
      </w:pPr>
      <w:r w:rsidRPr="002B2CF9">
        <w:rPr>
          <w:rFonts w:ascii="Times New Roman" w:eastAsia="Times New Roman" w:hAnsi="Times New Roman" w:cs="Times New Roman"/>
          <w:b/>
          <w:sz w:val="24"/>
          <w:szCs w:val="24"/>
          <w:lang w:eastAsia="ru-RU"/>
        </w:rPr>
        <w:t>(филиал «Алушта, сорт Каберне-Совиньон, в среднем за 2015-2016 гг.)</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88"/>
        <w:gridCol w:w="1275"/>
        <w:gridCol w:w="1134"/>
        <w:gridCol w:w="851"/>
        <w:gridCol w:w="709"/>
        <w:gridCol w:w="1846"/>
      </w:tblGrid>
      <w:tr w:rsidR="002B2CF9" w:rsidRPr="002B2CF9" w:rsidTr="00D539E6">
        <w:trPr>
          <w:cantSplit/>
          <w:trHeight w:val="507"/>
          <w:jc w:val="center"/>
        </w:trPr>
        <w:tc>
          <w:tcPr>
            <w:tcW w:w="1980" w:type="dxa"/>
            <w:vMerge w:val="restart"/>
            <w:tcBorders>
              <w:top w:val="single" w:sz="4" w:space="0" w:color="auto"/>
              <w:left w:val="single" w:sz="4" w:space="0" w:color="auto"/>
              <w:right w:val="single" w:sz="4" w:space="0" w:color="auto"/>
            </w:tcBorders>
            <w:vAlign w:val="center"/>
          </w:tcPr>
          <w:p w:rsidR="002B2CF9" w:rsidRPr="002B2CF9" w:rsidRDefault="002B2CF9" w:rsidP="002B2CF9">
            <w:pPr>
              <w:tabs>
                <w:tab w:val="left" w:pos="5812"/>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Вариант</w:t>
            </w:r>
          </w:p>
        </w:tc>
        <w:tc>
          <w:tcPr>
            <w:tcW w:w="1288" w:type="dxa"/>
            <w:vMerge w:val="restart"/>
            <w:tcBorders>
              <w:top w:val="single" w:sz="4" w:space="0" w:color="auto"/>
              <w:left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Средняя</w:t>
            </w:r>
          </w:p>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масса</w:t>
            </w:r>
          </w:p>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lastRenderedPageBreak/>
              <w:t>грозди, г</w:t>
            </w:r>
          </w:p>
        </w:tc>
        <w:tc>
          <w:tcPr>
            <w:tcW w:w="1275" w:type="dxa"/>
            <w:vMerge w:val="restart"/>
            <w:tcBorders>
              <w:top w:val="single" w:sz="4" w:space="0" w:color="auto"/>
              <w:left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lastRenderedPageBreak/>
              <w:t>Кол-во гроздей, шт./куст</w:t>
            </w:r>
          </w:p>
        </w:tc>
        <w:tc>
          <w:tcPr>
            <w:tcW w:w="1134" w:type="dxa"/>
            <w:vMerge w:val="restart"/>
            <w:tcBorders>
              <w:top w:val="single" w:sz="4" w:space="0" w:color="auto"/>
              <w:left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Урожай, кг/куст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Прибавка урожая</w:t>
            </w:r>
          </w:p>
        </w:tc>
        <w:tc>
          <w:tcPr>
            <w:tcW w:w="1846" w:type="dxa"/>
            <w:vMerge w:val="restart"/>
            <w:tcBorders>
              <w:top w:val="single" w:sz="4" w:space="0" w:color="auto"/>
              <w:left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Урожайность,</w:t>
            </w:r>
          </w:p>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т/га</w:t>
            </w:r>
          </w:p>
        </w:tc>
      </w:tr>
      <w:tr w:rsidR="002B2CF9" w:rsidRPr="002B2CF9" w:rsidTr="00D539E6">
        <w:trPr>
          <w:cantSplit/>
          <w:trHeight w:val="95"/>
          <w:jc w:val="center"/>
        </w:trPr>
        <w:tc>
          <w:tcPr>
            <w:tcW w:w="1980" w:type="dxa"/>
            <w:vMerge/>
            <w:tcBorders>
              <w:left w:val="single" w:sz="4" w:space="0" w:color="auto"/>
              <w:bottom w:val="single" w:sz="4" w:space="0" w:color="auto"/>
              <w:right w:val="single" w:sz="4" w:space="0" w:color="auto"/>
            </w:tcBorders>
            <w:vAlign w:val="center"/>
          </w:tcPr>
          <w:p w:rsidR="002B2CF9" w:rsidRPr="002B2CF9" w:rsidRDefault="002B2CF9" w:rsidP="002B2CF9">
            <w:pPr>
              <w:tabs>
                <w:tab w:val="left" w:pos="5812"/>
                <w:tab w:val="left" w:pos="6379"/>
              </w:tabs>
              <w:spacing w:after="0" w:line="240" w:lineRule="auto"/>
              <w:jc w:val="center"/>
              <w:rPr>
                <w:rFonts w:ascii="Times New Roman" w:eastAsia="Times New Roman" w:hAnsi="Times New Roman" w:cs="Times New Roman"/>
                <w:sz w:val="24"/>
                <w:szCs w:val="24"/>
                <w:lang w:eastAsia="ru-RU"/>
              </w:rPr>
            </w:pPr>
          </w:p>
        </w:tc>
        <w:tc>
          <w:tcPr>
            <w:tcW w:w="1288" w:type="dxa"/>
            <w:vMerge/>
            <w:tcBorders>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w:t>
            </w:r>
          </w:p>
        </w:tc>
        <w:tc>
          <w:tcPr>
            <w:tcW w:w="1846" w:type="dxa"/>
            <w:vMerge/>
            <w:tcBorders>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p>
        </w:tc>
      </w:tr>
      <w:tr w:rsidR="002B2CF9" w:rsidRPr="002B2CF9" w:rsidTr="00D539E6">
        <w:trPr>
          <w:trHeight w:val="60"/>
          <w:jc w:val="center"/>
        </w:trPr>
        <w:tc>
          <w:tcPr>
            <w:tcW w:w="1980"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i/>
                <w:sz w:val="24"/>
                <w:szCs w:val="24"/>
                <w:lang w:eastAsia="ru-RU"/>
              </w:rPr>
            </w:pPr>
            <w:r w:rsidRPr="002B2CF9">
              <w:rPr>
                <w:rFonts w:ascii="Times New Roman" w:eastAsia="Times New Roman" w:hAnsi="Times New Roman" w:cs="Times New Roman"/>
                <w:sz w:val="24"/>
                <w:szCs w:val="24"/>
                <w:lang w:eastAsia="ru-RU"/>
              </w:rPr>
              <w:t>Эталон</w:t>
            </w:r>
          </w:p>
        </w:tc>
        <w:tc>
          <w:tcPr>
            <w:tcW w:w="1288"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128,5</w:t>
            </w:r>
          </w:p>
        </w:tc>
        <w:tc>
          <w:tcPr>
            <w:tcW w:w="1275" w:type="dxa"/>
            <w:tcBorders>
              <w:top w:val="single" w:sz="4" w:space="0" w:color="auto"/>
              <w:left w:val="single" w:sz="4" w:space="0" w:color="auto"/>
              <w:bottom w:val="single" w:sz="4" w:space="0" w:color="auto"/>
              <w:right w:val="single" w:sz="4" w:space="0" w:color="auto"/>
            </w:tcBorders>
            <w:vAlign w:val="bottom"/>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39,7</w:t>
            </w:r>
          </w:p>
        </w:tc>
        <w:tc>
          <w:tcPr>
            <w:tcW w:w="1134"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val="uk-UA" w:eastAsia="ru-RU"/>
              </w:rPr>
            </w:pPr>
            <w:r w:rsidRPr="002B2CF9">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val="uk-UA" w:eastAsia="ru-RU"/>
              </w:rPr>
            </w:pPr>
            <w:r w:rsidRPr="002B2CF9">
              <w:rPr>
                <w:rFonts w:ascii="Times New Roman" w:eastAsia="Times New Roman" w:hAnsi="Times New Roman" w:cs="Times New Roman"/>
                <w:sz w:val="24"/>
                <w:szCs w:val="24"/>
                <w:lang w:eastAsia="ru-RU"/>
              </w:rPr>
              <w:t>–</w:t>
            </w:r>
          </w:p>
        </w:tc>
        <w:tc>
          <w:tcPr>
            <w:tcW w:w="1846"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val="uk-UA" w:eastAsia="ru-RU"/>
              </w:rPr>
            </w:pPr>
            <w:r w:rsidRPr="002B2CF9">
              <w:rPr>
                <w:rFonts w:ascii="Times New Roman" w:eastAsia="Times New Roman" w:hAnsi="Times New Roman" w:cs="Times New Roman"/>
                <w:bCs/>
                <w:sz w:val="24"/>
                <w:szCs w:val="24"/>
                <w:lang w:val="uk-UA" w:eastAsia="ru-RU"/>
              </w:rPr>
              <w:t>11,3</w:t>
            </w:r>
          </w:p>
        </w:tc>
      </w:tr>
      <w:tr w:rsidR="002B2CF9" w:rsidRPr="002B2CF9" w:rsidTr="00D539E6">
        <w:trPr>
          <w:trHeight w:val="60"/>
          <w:jc w:val="center"/>
        </w:trPr>
        <w:tc>
          <w:tcPr>
            <w:tcW w:w="1980"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Нутри-Файт + Спартан</w:t>
            </w:r>
          </w:p>
        </w:tc>
        <w:tc>
          <w:tcPr>
            <w:tcW w:w="1288"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141,8</w:t>
            </w:r>
          </w:p>
        </w:tc>
        <w:tc>
          <w:tcPr>
            <w:tcW w:w="1275" w:type="dxa"/>
            <w:tcBorders>
              <w:top w:val="single" w:sz="4" w:space="0" w:color="auto"/>
              <w:left w:val="single" w:sz="4" w:space="0" w:color="auto"/>
              <w:bottom w:val="single" w:sz="4" w:space="0" w:color="auto"/>
              <w:right w:val="single" w:sz="4" w:space="0" w:color="auto"/>
            </w:tcBorders>
            <w:vAlign w:val="bottom"/>
          </w:tcPr>
          <w:p w:rsidR="002B2CF9" w:rsidRPr="002B2CF9" w:rsidRDefault="002B2CF9" w:rsidP="002B2CF9">
            <w:pPr>
              <w:spacing w:after="0" w:line="240" w:lineRule="auto"/>
              <w:jc w:val="center"/>
              <w:rPr>
                <w:rFonts w:ascii="Times New Roman" w:eastAsia="Times New Roman" w:hAnsi="Times New Roman" w:cs="Times New Roman"/>
                <w:sz w:val="24"/>
                <w:szCs w:val="24"/>
                <w:lang w:val="uk-UA" w:eastAsia="ru-RU"/>
              </w:rPr>
            </w:pPr>
            <w:r w:rsidRPr="002B2CF9">
              <w:rPr>
                <w:rFonts w:ascii="Times New Roman" w:eastAsia="Times New Roman" w:hAnsi="Times New Roman" w:cs="Times New Roman"/>
                <w:sz w:val="24"/>
                <w:szCs w:val="24"/>
                <w:lang w:val="uk-UA" w:eastAsia="ru-RU"/>
              </w:rPr>
              <w:t>40,2</w:t>
            </w:r>
          </w:p>
        </w:tc>
        <w:tc>
          <w:tcPr>
            <w:tcW w:w="1134"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val="uk-UA" w:eastAsia="ru-RU"/>
              </w:rPr>
            </w:pPr>
            <w:r w:rsidRPr="002B2CF9">
              <w:rPr>
                <w:rFonts w:ascii="Times New Roman" w:eastAsia="Times New Roman" w:hAnsi="Times New Roman" w:cs="Times New Roman"/>
                <w:bCs/>
                <w:sz w:val="24"/>
                <w:szCs w:val="24"/>
                <w:lang w:val="uk-UA" w:eastAsia="ru-RU"/>
              </w:rPr>
              <w:t>5,7</w:t>
            </w:r>
          </w:p>
        </w:tc>
        <w:tc>
          <w:tcPr>
            <w:tcW w:w="851"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0,6</w:t>
            </w:r>
          </w:p>
        </w:tc>
        <w:tc>
          <w:tcPr>
            <w:tcW w:w="709"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11,8</w:t>
            </w:r>
          </w:p>
        </w:tc>
        <w:tc>
          <w:tcPr>
            <w:tcW w:w="1846"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12,7</w:t>
            </w:r>
          </w:p>
        </w:tc>
      </w:tr>
      <w:tr w:rsidR="002B2CF9" w:rsidRPr="002B2CF9" w:rsidTr="00D539E6">
        <w:trPr>
          <w:trHeight w:val="93"/>
          <w:jc w:val="center"/>
        </w:trPr>
        <w:tc>
          <w:tcPr>
            <w:tcW w:w="1980"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НСР</w:t>
            </w:r>
            <w:r w:rsidRPr="002B2CF9">
              <w:rPr>
                <w:rFonts w:ascii="Times New Roman" w:eastAsia="Times New Roman" w:hAnsi="Times New Roman" w:cs="Times New Roman"/>
                <w:sz w:val="24"/>
                <w:szCs w:val="24"/>
                <w:vertAlign w:val="subscript"/>
                <w:lang w:eastAsia="ru-RU"/>
              </w:rPr>
              <w:t>05</w:t>
            </w:r>
            <w:r w:rsidRPr="002B2CF9">
              <w:rPr>
                <w:rFonts w:ascii="Times New Roman" w:eastAsia="Times New Roman" w:hAnsi="Times New Roman" w:cs="Times New Roman"/>
                <w:sz w:val="24"/>
                <w:szCs w:val="24"/>
                <w:lang w:eastAsia="ru-RU"/>
              </w:rPr>
              <w:t xml:space="preserve"> за 2015 г.</w:t>
            </w:r>
          </w:p>
        </w:tc>
        <w:tc>
          <w:tcPr>
            <w:tcW w:w="1288"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4,1</w:t>
            </w:r>
          </w:p>
        </w:tc>
        <w:tc>
          <w:tcPr>
            <w:tcW w:w="1275" w:type="dxa"/>
            <w:tcBorders>
              <w:top w:val="single" w:sz="4" w:space="0" w:color="auto"/>
              <w:left w:val="single" w:sz="4" w:space="0" w:color="auto"/>
              <w:bottom w:val="single" w:sz="4" w:space="0" w:color="auto"/>
              <w:right w:val="single" w:sz="4" w:space="0" w:color="auto"/>
            </w:tcBorders>
            <w:vAlign w:val="bottom"/>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sz w:val="24"/>
                <w:szCs w:val="24"/>
                <w:lang w:eastAsia="ru-RU"/>
              </w:rPr>
              <w:t>–</w:t>
            </w:r>
          </w:p>
        </w:tc>
        <w:tc>
          <w:tcPr>
            <w:tcW w:w="1846"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sz w:val="24"/>
                <w:szCs w:val="24"/>
                <w:lang w:eastAsia="ru-RU"/>
              </w:rPr>
              <w:t>–</w:t>
            </w:r>
          </w:p>
        </w:tc>
      </w:tr>
      <w:tr w:rsidR="002B2CF9" w:rsidRPr="002B2CF9" w:rsidTr="00D539E6">
        <w:trPr>
          <w:trHeight w:val="247"/>
          <w:jc w:val="center"/>
        </w:trPr>
        <w:tc>
          <w:tcPr>
            <w:tcW w:w="1980"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НСР</w:t>
            </w:r>
            <w:r w:rsidRPr="002B2CF9">
              <w:rPr>
                <w:rFonts w:ascii="Times New Roman" w:eastAsia="Times New Roman" w:hAnsi="Times New Roman" w:cs="Times New Roman"/>
                <w:sz w:val="24"/>
                <w:szCs w:val="24"/>
                <w:vertAlign w:val="subscript"/>
                <w:lang w:eastAsia="ru-RU"/>
              </w:rPr>
              <w:t>05</w:t>
            </w:r>
            <w:r w:rsidRPr="002B2CF9">
              <w:rPr>
                <w:rFonts w:ascii="Times New Roman" w:eastAsia="Times New Roman" w:hAnsi="Times New Roman" w:cs="Times New Roman"/>
                <w:sz w:val="24"/>
                <w:szCs w:val="24"/>
                <w:lang w:eastAsia="ru-RU"/>
              </w:rPr>
              <w:t xml:space="preserve"> за 2016 г.</w:t>
            </w:r>
          </w:p>
        </w:tc>
        <w:tc>
          <w:tcPr>
            <w:tcW w:w="1288"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5,2</w:t>
            </w:r>
          </w:p>
        </w:tc>
        <w:tc>
          <w:tcPr>
            <w:tcW w:w="1275" w:type="dxa"/>
            <w:tcBorders>
              <w:top w:val="single" w:sz="4" w:space="0" w:color="auto"/>
              <w:left w:val="single" w:sz="4" w:space="0" w:color="auto"/>
              <w:bottom w:val="single" w:sz="4" w:space="0" w:color="auto"/>
              <w:right w:val="single" w:sz="4" w:space="0" w:color="auto"/>
            </w:tcBorders>
            <w:vAlign w:val="bottom"/>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0,3</w:t>
            </w:r>
          </w:p>
        </w:tc>
        <w:tc>
          <w:tcPr>
            <w:tcW w:w="851"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sz w:val="24"/>
                <w:szCs w:val="24"/>
                <w:lang w:eastAsia="ru-RU"/>
              </w:rPr>
              <w:t>–</w:t>
            </w:r>
          </w:p>
        </w:tc>
        <w:tc>
          <w:tcPr>
            <w:tcW w:w="1846"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sz w:val="24"/>
                <w:szCs w:val="24"/>
                <w:lang w:eastAsia="ru-RU"/>
              </w:rPr>
              <w:t>–</w:t>
            </w:r>
          </w:p>
        </w:tc>
      </w:tr>
    </w:tbl>
    <w:p w:rsidR="002B2CF9" w:rsidRPr="002B2CF9" w:rsidRDefault="002B2CF9" w:rsidP="002B2CF9">
      <w:pPr>
        <w:spacing w:after="0" w:line="240" w:lineRule="auto"/>
        <w:ind w:firstLine="709"/>
        <w:jc w:val="center"/>
        <w:rPr>
          <w:rFonts w:ascii="Times New Roman" w:eastAsia="Times New Roman" w:hAnsi="Times New Roman" w:cs="Times New Roman"/>
          <w:bCs/>
          <w:sz w:val="30"/>
          <w:szCs w:val="30"/>
          <w:highlight w:val="yellow"/>
          <w:lang w:eastAsia="ru-RU"/>
        </w:rPr>
      </w:pPr>
    </w:p>
    <w:p w:rsidR="002B2CF9" w:rsidRPr="002B2CF9" w:rsidRDefault="002B2CF9" w:rsidP="002B2CF9">
      <w:pPr>
        <w:spacing w:after="0" w:line="240" w:lineRule="auto"/>
        <w:ind w:firstLine="709"/>
        <w:jc w:val="both"/>
        <w:rPr>
          <w:rFonts w:ascii="Times New Roman" w:eastAsia="Times New Roman" w:hAnsi="Times New Roman" w:cs="Times New Roman"/>
          <w:sz w:val="30"/>
          <w:szCs w:val="30"/>
          <w:lang w:eastAsia="ru-RU"/>
        </w:rPr>
      </w:pPr>
      <w:r w:rsidRPr="002B2CF9">
        <w:rPr>
          <w:rFonts w:ascii="Times New Roman" w:eastAsia="Times New Roman" w:hAnsi="Times New Roman" w:cs="Times New Roman"/>
          <w:sz w:val="30"/>
          <w:szCs w:val="30"/>
          <w:lang w:eastAsia="ru-RU"/>
        </w:rPr>
        <w:t>Применение удобрения Нутри-Файт РК и кондиционера для воды Спартан в баковой смеси пестицидов способствует существенному увеличению показателя массовой концентрации сахаров в соке ягод винограда до 21,5 г/100 см</w:t>
      </w:r>
      <w:r w:rsidRPr="002B2CF9">
        <w:rPr>
          <w:rFonts w:ascii="Times New Roman" w:eastAsia="Times New Roman" w:hAnsi="Times New Roman" w:cs="Times New Roman"/>
          <w:sz w:val="30"/>
          <w:szCs w:val="30"/>
          <w:vertAlign w:val="superscript"/>
          <w:lang w:eastAsia="ru-RU"/>
        </w:rPr>
        <w:t>3</w:t>
      </w:r>
      <w:r w:rsidRPr="002B2CF9">
        <w:rPr>
          <w:rFonts w:ascii="Times New Roman" w:eastAsia="Times New Roman" w:hAnsi="Times New Roman" w:cs="Times New Roman"/>
          <w:sz w:val="30"/>
          <w:szCs w:val="30"/>
          <w:lang w:eastAsia="ru-RU"/>
        </w:rPr>
        <w:t>, что на 0,9 г/100 см</w:t>
      </w:r>
      <w:r w:rsidRPr="002B2CF9">
        <w:rPr>
          <w:rFonts w:ascii="Times New Roman" w:eastAsia="Times New Roman" w:hAnsi="Times New Roman" w:cs="Times New Roman"/>
          <w:sz w:val="30"/>
          <w:szCs w:val="30"/>
          <w:vertAlign w:val="superscript"/>
          <w:lang w:eastAsia="ru-RU"/>
        </w:rPr>
        <w:t>3</w:t>
      </w:r>
      <w:r w:rsidRPr="002B2CF9">
        <w:rPr>
          <w:rFonts w:ascii="Times New Roman" w:eastAsia="Times New Roman" w:hAnsi="Times New Roman" w:cs="Times New Roman"/>
          <w:sz w:val="30"/>
          <w:szCs w:val="30"/>
          <w:lang w:eastAsia="ru-RU"/>
        </w:rPr>
        <w:t xml:space="preserve"> выше показателя эталонного варианта (табл. 4).</w:t>
      </w:r>
    </w:p>
    <w:p w:rsidR="002B2CF9" w:rsidRPr="002B2CF9" w:rsidRDefault="002B2CF9" w:rsidP="002B2CF9">
      <w:pPr>
        <w:spacing w:after="0" w:line="240" w:lineRule="auto"/>
        <w:ind w:firstLine="709"/>
        <w:jc w:val="both"/>
        <w:rPr>
          <w:rFonts w:ascii="Times New Roman" w:eastAsia="Times New Roman" w:hAnsi="Times New Roman" w:cs="Times New Roman"/>
          <w:bCs/>
          <w:sz w:val="30"/>
          <w:szCs w:val="30"/>
          <w:lang w:eastAsia="ru-RU"/>
        </w:rPr>
      </w:pPr>
      <w:r w:rsidRPr="002B2CF9">
        <w:rPr>
          <w:rFonts w:ascii="Times New Roman" w:eastAsia="Times New Roman" w:hAnsi="Times New Roman" w:cs="Times New Roman"/>
          <w:bCs/>
          <w:sz w:val="30"/>
          <w:szCs w:val="30"/>
          <w:lang w:eastAsia="ru-RU"/>
        </w:rPr>
        <w:t xml:space="preserve">Использование изучаемых препаратов не оказало влияние на </w:t>
      </w:r>
      <w:r w:rsidRPr="002B2CF9">
        <w:rPr>
          <w:rFonts w:ascii="Times New Roman" w:eastAsia="Times New Roman" w:hAnsi="Times New Roman" w:cs="Times New Roman"/>
          <w:bCs/>
          <w:sz w:val="30"/>
          <w:szCs w:val="30"/>
          <w:lang w:val="en-US" w:eastAsia="ru-RU"/>
        </w:rPr>
        <w:t>pH</w:t>
      </w:r>
      <w:r w:rsidRPr="002B2CF9">
        <w:rPr>
          <w:rFonts w:ascii="Times New Roman" w:eastAsia="Times New Roman" w:hAnsi="Times New Roman" w:cs="Times New Roman"/>
          <w:bCs/>
          <w:sz w:val="30"/>
          <w:szCs w:val="30"/>
          <w:lang w:eastAsia="ru-RU"/>
        </w:rPr>
        <w:t xml:space="preserve"> ягод сока винограда. Этот показатель в опытном варианте и эталоне был на одном уровне </w:t>
      </w:r>
      <w:r w:rsidRPr="002B2CF9">
        <w:rPr>
          <w:rFonts w:ascii="Times New Roman" w:eastAsia="Times New Roman" w:hAnsi="Times New Roman" w:cs="Times New Roman"/>
          <w:sz w:val="30"/>
          <w:szCs w:val="30"/>
          <w:lang w:eastAsia="ru-RU"/>
        </w:rPr>
        <w:t>– 3,2–3,28,</w:t>
      </w:r>
      <w:r w:rsidRPr="002B2CF9">
        <w:rPr>
          <w:rFonts w:ascii="Times New Roman" w:eastAsia="Times New Roman" w:hAnsi="Times New Roman" w:cs="Times New Roman"/>
          <w:bCs/>
          <w:sz w:val="30"/>
          <w:szCs w:val="30"/>
          <w:lang w:eastAsia="ru-RU"/>
        </w:rPr>
        <w:t xml:space="preserve"> что соответствовало требованиям ГОСТа к соку для производства красных сухих вин.</w:t>
      </w:r>
    </w:p>
    <w:p w:rsidR="002B2CF9" w:rsidRPr="002B2CF9" w:rsidRDefault="002B2CF9" w:rsidP="002B2CF9">
      <w:pPr>
        <w:spacing w:before="240" w:after="0" w:line="240" w:lineRule="auto"/>
        <w:jc w:val="right"/>
        <w:rPr>
          <w:rFonts w:ascii="Times New Roman" w:eastAsia="Calibri" w:hAnsi="Times New Roman" w:cs="Times New Roman"/>
          <w:sz w:val="24"/>
          <w:szCs w:val="24"/>
        </w:rPr>
      </w:pPr>
      <w:r w:rsidRPr="002B2CF9">
        <w:rPr>
          <w:rFonts w:ascii="Times New Roman" w:eastAsia="Calibri" w:hAnsi="Times New Roman" w:cs="Times New Roman"/>
          <w:sz w:val="24"/>
          <w:szCs w:val="24"/>
        </w:rPr>
        <w:t>Таблица 4</w:t>
      </w:r>
    </w:p>
    <w:p w:rsidR="002B2CF9" w:rsidRPr="002B2CF9" w:rsidRDefault="002B2CF9" w:rsidP="002B2CF9">
      <w:pPr>
        <w:spacing w:after="0" w:line="240" w:lineRule="auto"/>
        <w:jc w:val="center"/>
        <w:rPr>
          <w:rFonts w:ascii="Times New Roman" w:eastAsia="Calibri" w:hAnsi="Times New Roman" w:cs="Times New Roman"/>
          <w:b/>
          <w:sz w:val="24"/>
          <w:szCs w:val="24"/>
        </w:rPr>
      </w:pPr>
      <w:r w:rsidRPr="002B2CF9">
        <w:rPr>
          <w:rFonts w:ascii="Times New Roman" w:eastAsia="Calibri" w:hAnsi="Times New Roman" w:cs="Times New Roman"/>
          <w:b/>
          <w:sz w:val="24"/>
          <w:szCs w:val="24"/>
        </w:rPr>
        <w:t xml:space="preserve">Влияние обработок препаратами Нутри-Файт РК и Спартан </w:t>
      </w:r>
    </w:p>
    <w:p w:rsidR="002B2CF9" w:rsidRPr="002B2CF9" w:rsidRDefault="002B2CF9" w:rsidP="002B2CF9">
      <w:pPr>
        <w:spacing w:after="0" w:line="240" w:lineRule="auto"/>
        <w:jc w:val="center"/>
        <w:rPr>
          <w:rFonts w:ascii="Times New Roman" w:eastAsia="Calibri" w:hAnsi="Times New Roman" w:cs="Times New Roman"/>
          <w:b/>
          <w:sz w:val="24"/>
          <w:szCs w:val="24"/>
        </w:rPr>
      </w:pPr>
      <w:r w:rsidRPr="002B2CF9">
        <w:rPr>
          <w:rFonts w:ascii="Times New Roman" w:eastAsia="Calibri" w:hAnsi="Times New Roman" w:cs="Times New Roman"/>
          <w:b/>
          <w:sz w:val="24"/>
          <w:szCs w:val="24"/>
        </w:rPr>
        <w:t>на качественные показатели урожая винограда</w:t>
      </w:r>
    </w:p>
    <w:p w:rsidR="002B2CF9" w:rsidRPr="002B2CF9" w:rsidRDefault="002B2CF9" w:rsidP="002B2CF9">
      <w:pPr>
        <w:spacing w:after="120" w:line="240" w:lineRule="auto"/>
        <w:jc w:val="center"/>
        <w:rPr>
          <w:rFonts w:ascii="Times New Roman" w:eastAsia="Times New Roman" w:hAnsi="Times New Roman" w:cs="Times New Roman"/>
          <w:b/>
          <w:sz w:val="24"/>
          <w:szCs w:val="24"/>
          <w:lang w:eastAsia="ru-RU"/>
        </w:rPr>
      </w:pPr>
      <w:r w:rsidRPr="002B2CF9">
        <w:rPr>
          <w:rFonts w:ascii="Times New Roman" w:eastAsia="Times New Roman" w:hAnsi="Times New Roman" w:cs="Times New Roman"/>
          <w:b/>
          <w:sz w:val="24"/>
          <w:szCs w:val="24"/>
          <w:lang w:eastAsia="ru-RU"/>
        </w:rPr>
        <w:t>(филиал «Алушта, сорт Каберне-Совиньон, в среднем за 2015-2016 гг.)</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127"/>
        <w:gridCol w:w="2835"/>
        <w:gridCol w:w="1275"/>
      </w:tblGrid>
      <w:tr w:rsidR="002B2CF9" w:rsidRPr="002B2CF9" w:rsidTr="00D539E6">
        <w:trPr>
          <w:cantSplit/>
          <w:trHeight w:val="519"/>
          <w:jc w:val="center"/>
        </w:trPr>
        <w:tc>
          <w:tcPr>
            <w:tcW w:w="2835" w:type="dxa"/>
            <w:vMerge w:val="restart"/>
            <w:tcBorders>
              <w:top w:val="single" w:sz="4" w:space="0" w:color="auto"/>
              <w:left w:val="single" w:sz="4" w:space="0" w:color="auto"/>
              <w:right w:val="single" w:sz="4" w:space="0" w:color="auto"/>
            </w:tcBorders>
            <w:vAlign w:val="center"/>
          </w:tcPr>
          <w:p w:rsidR="002B2CF9" w:rsidRPr="002B2CF9" w:rsidRDefault="002B2CF9" w:rsidP="002B2CF9">
            <w:pPr>
              <w:tabs>
                <w:tab w:val="left" w:pos="5812"/>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Вариант</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Массовая концентрация в соке ягод</w:t>
            </w:r>
          </w:p>
        </w:tc>
        <w:tc>
          <w:tcPr>
            <w:tcW w:w="1275" w:type="dxa"/>
            <w:vMerge w:val="restart"/>
            <w:tcBorders>
              <w:top w:val="single" w:sz="4" w:space="0" w:color="auto"/>
              <w:left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val="en-US" w:eastAsia="ru-RU"/>
              </w:rPr>
            </w:pPr>
            <w:r w:rsidRPr="002B2CF9">
              <w:rPr>
                <w:rFonts w:ascii="Times New Roman" w:eastAsia="Times New Roman" w:hAnsi="Times New Roman" w:cs="Times New Roman"/>
                <w:sz w:val="24"/>
                <w:szCs w:val="24"/>
                <w:lang w:val="en-US" w:eastAsia="ru-RU"/>
              </w:rPr>
              <w:t>pH</w:t>
            </w:r>
          </w:p>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сока ягод</w:t>
            </w:r>
          </w:p>
        </w:tc>
      </w:tr>
      <w:tr w:rsidR="002B2CF9" w:rsidRPr="002B2CF9" w:rsidTr="00D539E6">
        <w:trPr>
          <w:cantSplit/>
          <w:trHeight w:val="70"/>
          <w:jc w:val="center"/>
        </w:trPr>
        <w:tc>
          <w:tcPr>
            <w:tcW w:w="2835" w:type="dxa"/>
            <w:vMerge/>
            <w:tcBorders>
              <w:left w:val="single" w:sz="4" w:space="0" w:color="auto"/>
              <w:bottom w:val="single" w:sz="4" w:space="0" w:color="auto"/>
              <w:right w:val="single" w:sz="4" w:space="0" w:color="auto"/>
            </w:tcBorders>
            <w:vAlign w:val="center"/>
          </w:tcPr>
          <w:p w:rsidR="002B2CF9" w:rsidRPr="002B2CF9" w:rsidRDefault="002B2CF9" w:rsidP="002B2CF9">
            <w:pPr>
              <w:tabs>
                <w:tab w:val="left" w:pos="5812"/>
                <w:tab w:val="left" w:pos="6379"/>
              </w:tabs>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сахаров, г/100 см</w:t>
            </w:r>
            <w:r w:rsidRPr="002B2CF9">
              <w:rPr>
                <w:rFonts w:ascii="Times New Roman" w:eastAsia="Times New Roman" w:hAnsi="Times New Roman" w:cs="Times New Roman"/>
                <w:sz w:val="24"/>
                <w:szCs w:val="24"/>
                <w:vertAlign w:val="superscript"/>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титруемых кислот, г/дм</w:t>
            </w:r>
            <w:r w:rsidRPr="002B2CF9">
              <w:rPr>
                <w:rFonts w:ascii="Times New Roman" w:eastAsia="Times New Roman" w:hAnsi="Times New Roman" w:cs="Times New Roman"/>
                <w:sz w:val="24"/>
                <w:szCs w:val="24"/>
                <w:vertAlign w:val="superscript"/>
                <w:lang w:eastAsia="ru-RU"/>
              </w:rPr>
              <w:t>3</w:t>
            </w:r>
          </w:p>
        </w:tc>
        <w:tc>
          <w:tcPr>
            <w:tcW w:w="1275" w:type="dxa"/>
            <w:vMerge/>
            <w:tcBorders>
              <w:left w:val="single" w:sz="4" w:space="0" w:color="auto"/>
              <w:bottom w:val="single" w:sz="4" w:space="0" w:color="auto"/>
              <w:right w:val="single" w:sz="4" w:space="0" w:color="auto"/>
            </w:tcBorders>
            <w:vAlign w:val="center"/>
          </w:tcPr>
          <w:p w:rsidR="002B2CF9" w:rsidRPr="002B2CF9" w:rsidRDefault="002B2CF9" w:rsidP="002B2CF9">
            <w:pPr>
              <w:tabs>
                <w:tab w:val="left" w:pos="3686"/>
                <w:tab w:val="left" w:pos="6379"/>
              </w:tabs>
              <w:spacing w:after="0" w:line="240" w:lineRule="auto"/>
              <w:jc w:val="center"/>
              <w:rPr>
                <w:rFonts w:ascii="Times New Roman" w:eastAsia="Times New Roman" w:hAnsi="Times New Roman" w:cs="Times New Roman"/>
                <w:sz w:val="24"/>
                <w:szCs w:val="24"/>
                <w:lang w:eastAsia="ru-RU"/>
              </w:rPr>
            </w:pPr>
          </w:p>
        </w:tc>
      </w:tr>
      <w:tr w:rsidR="002B2CF9" w:rsidRPr="002B2CF9" w:rsidTr="00D539E6">
        <w:trPr>
          <w:trHeight w:val="70"/>
          <w:jc w:val="center"/>
        </w:trPr>
        <w:tc>
          <w:tcPr>
            <w:tcW w:w="2835"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i/>
                <w:sz w:val="24"/>
                <w:szCs w:val="24"/>
                <w:lang w:eastAsia="ru-RU"/>
              </w:rPr>
            </w:pPr>
            <w:r w:rsidRPr="002B2CF9">
              <w:rPr>
                <w:rFonts w:ascii="Times New Roman" w:eastAsia="Times New Roman" w:hAnsi="Times New Roman" w:cs="Times New Roman"/>
                <w:sz w:val="24"/>
                <w:szCs w:val="24"/>
                <w:lang w:eastAsia="ru-RU"/>
              </w:rPr>
              <w:t>Эталон</w:t>
            </w:r>
          </w:p>
        </w:tc>
        <w:tc>
          <w:tcPr>
            <w:tcW w:w="2127"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val="uk-UA" w:eastAsia="ru-RU"/>
              </w:rPr>
            </w:pPr>
            <w:r w:rsidRPr="002B2CF9">
              <w:rPr>
                <w:rFonts w:ascii="Times New Roman" w:eastAsia="Times New Roman" w:hAnsi="Times New Roman" w:cs="Times New Roman"/>
                <w:bCs/>
                <w:sz w:val="24"/>
                <w:szCs w:val="24"/>
                <w:lang w:eastAsia="ru-RU"/>
              </w:rPr>
              <w:t>20,6</w:t>
            </w:r>
          </w:p>
        </w:tc>
        <w:tc>
          <w:tcPr>
            <w:tcW w:w="2835"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val="uk-UA" w:eastAsia="ru-RU"/>
              </w:rPr>
            </w:pPr>
            <w:r w:rsidRPr="002B2CF9">
              <w:rPr>
                <w:rFonts w:ascii="Times New Roman" w:eastAsia="Times New Roman" w:hAnsi="Times New Roman" w:cs="Times New Roman"/>
                <w:bCs/>
                <w:sz w:val="24"/>
                <w:szCs w:val="24"/>
                <w:lang w:val="uk-UA" w:eastAsia="ru-RU"/>
              </w:rPr>
              <w:t>6,8</w:t>
            </w:r>
          </w:p>
        </w:tc>
        <w:tc>
          <w:tcPr>
            <w:tcW w:w="1275"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val="uk-UA" w:eastAsia="ru-RU"/>
              </w:rPr>
            </w:pPr>
            <w:r w:rsidRPr="002B2CF9">
              <w:rPr>
                <w:rFonts w:ascii="Times New Roman" w:eastAsia="Times New Roman" w:hAnsi="Times New Roman" w:cs="Times New Roman"/>
                <w:bCs/>
                <w:sz w:val="24"/>
                <w:szCs w:val="24"/>
                <w:lang w:val="uk-UA" w:eastAsia="ru-RU"/>
              </w:rPr>
              <w:t>3,28</w:t>
            </w:r>
          </w:p>
        </w:tc>
      </w:tr>
      <w:tr w:rsidR="002B2CF9" w:rsidRPr="002B2CF9" w:rsidTr="00D539E6">
        <w:trPr>
          <w:trHeight w:val="70"/>
          <w:jc w:val="center"/>
        </w:trPr>
        <w:tc>
          <w:tcPr>
            <w:tcW w:w="2835"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Нутри-Файт + Спартан</w:t>
            </w:r>
          </w:p>
        </w:tc>
        <w:tc>
          <w:tcPr>
            <w:tcW w:w="2127"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val="uk-UA" w:eastAsia="ru-RU"/>
              </w:rPr>
              <w:t>21,5</w:t>
            </w:r>
          </w:p>
        </w:tc>
        <w:tc>
          <w:tcPr>
            <w:tcW w:w="2835"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6,4</w:t>
            </w:r>
          </w:p>
        </w:tc>
        <w:tc>
          <w:tcPr>
            <w:tcW w:w="1275"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3,2</w:t>
            </w:r>
          </w:p>
        </w:tc>
      </w:tr>
      <w:tr w:rsidR="002B2CF9" w:rsidRPr="002B2CF9" w:rsidTr="00D539E6">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НСР</w:t>
            </w:r>
            <w:r w:rsidRPr="002B2CF9">
              <w:rPr>
                <w:rFonts w:ascii="Times New Roman" w:eastAsia="Times New Roman" w:hAnsi="Times New Roman" w:cs="Times New Roman"/>
                <w:sz w:val="24"/>
                <w:szCs w:val="24"/>
                <w:vertAlign w:val="subscript"/>
                <w:lang w:eastAsia="ru-RU"/>
              </w:rPr>
              <w:t>05</w:t>
            </w:r>
            <w:r w:rsidRPr="002B2CF9">
              <w:rPr>
                <w:rFonts w:ascii="Times New Roman" w:eastAsia="Times New Roman" w:hAnsi="Times New Roman" w:cs="Times New Roman"/>
                <w:sz w:val="24"/>
                <w:szCs w:val="24"/>
                <w:lang w:eastAsia="ru-RU"/>
              </w:rPr>
              <w:t xml:space="preserve"> за 2015 год</w:t>
            </w:r>
          </w:p>
        </w:tc>
        <w:tc>
          <w:tcPr>
            <w:tcW w:w="2127"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0,4</w:t>
            </w:r>
          </w:p>
        </w:tc>
        <w:tc>
          <w:tcPr>
            <w:tcW w:w="2835"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0,5</w:t>
            </w:r>
          </w:p>
        </w:tc>
        <w:tc>
          <w:tcPr>
            <w:tcW w:w="1275"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0,2</w:t>
            </w:r>
          </w:p>
        </w:tc>
      </w:tr>
      <w:tr w:rsidR="002B2CF9" w:rsidRPr="002B2CF9" w:rsidTr="00D539E6">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2B2CF9" w:rsidRPr="002B2CF9" w:rsidRDefault="002B2CF9" w:rsidP="002B2CF9">
            <w:pPr>
              <w:spacing w:after="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НСР</w:t>
            </w:r>
            <w:r w:rsidRPr="002B2CF9">
              <w:rPr>
                <w:rFonts w:ascii="Times New Roman" w:eastAsia="Times New Roman" w:hAnsi="Times New Roman" w:cs="Times New Roman"/>
                <w:sz w:val="24"/>
                <w:szCs w:val="24"/>
                <w:vertAlign w:val="subscript"/>
                <w:lang w:eastAsia="ru-RU"/>
              </w:rPr>
              <w:t>05</w:t>
            </w:r>
            <w:r w:rsidRPr="002B2CF9">
              <w:rPr>
                <w:rFonts w:ascii="Times New Roman" w:eastAsia="Times New Roman" w:hAnsi="Times New Roman" w:cs="Times New Roman"/>
                <w:sz w:val="24"/>
                <w:szCs w:val="24"/>
                <w:lang w:eastAsia="ru-RU"/>
              </w:rPr>
              <w:t xml:space="preserve"> за 2016 год</w:t>
            </w:r>
          </w:p>
        </w:tc>
        <w:tc>
          <w:tcPr>
            <w:tcW w:w="2127"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0,6</w:t>
            </w:r>
          </w:p>
        </w:tc>
        <w:tc>
          <w:tcPr>
            <w:tcW w:w="2835"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0,5</w:t>
            </w:r>
          </w:p>
        </w:tc>
        <w:tc>
          <w:tcPr>
            <w:tcW w:w="1275" w:type="dxa"/>
            <w:tcBorders>
              <w:top w:val="single" w:sz="4" w:space="0" w:color="auto"/>
              <w:left w:val="single" w:sz="4" w:space="0" w:color="auto"/>
              <w:bottom w:val="single" w:sz="4" w:space="0" w:color="auto"/>
              <w:right w:val="single" w:sz="4" w:space="0" w:color="auto"/>
            </w:tcBorders>
          </w:tcPr>
          <w:p w:rsidR="002B2CF9" w:rsidRPr="002B2CF9" w:rsidRDefault="002B2CF9" w:rsidP="002B2CF9">
            <w:pPr>
              <w:spacing w:after="0" w:line="240" w:lineRule="auto"/>
              <w:jc w:val="center"/>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bCs/>
                <w:sz w:val="24"/>
                <w:szCs w:val="24"/>
                <w:lang w:eastAsia="ru-RU"/>
              </w:rPr>
              <w:t>0,1</w:t>
            </w:r>
          </w:p>
        </w:tc>
      </w:tr>
    </w:tbl>
    <w:p w:rsidR="002B2CF9" w:rsidRPr="002B2CF9" w:rsidRDefault="002B2CF9" w:rsidP="002B2CF9">
      <w:pPr>
        <w:spacing w:before="240" w:after="0" w:line="240" w:lineRule="auto"/>
        <w:ind w:firstLine="709"/>
        <w:jc w:val="both"/>
        <w:rPr>
          <w:rFonts w:ascii="Times New Roman" w:eastAsia="Times New Roman" w:hAnsi="Times New Roman" w:cs="Times New Roman"/>
          <w:sz w:val="30"/>
          <w:szCs w:val="30"/>
          <w:lang w:eastAsia="ru-RU"/>
        </w:rPr>
      </w:pPr>
      <w:r w:rsidRPr="002B2CF9">
        <w:rPr>
          <w:rFonts w:ascii="Times New Roman" w:eastAsia="Times New Roman" w:hAnsi="Times New Roman" w:cs="Times New Roman"/>
          <w:sz w:val="30"/>
          <w:szCs w:val="30"/>
          <w:lang w:eastAsia="ru-RU"/>
        </w:rPr>
        <w:t>Таким образом, данные, полученные в ходе химических анализов, показали, что использование комплексного удобрения Нутри-Файт и кондиционера для воды Спартан в баковой смеси с пестицидами не оказало негативного влияния на химический состав виноградного сусла. Значения регламентированных нормативной документацией показателей (массовая концентрация сахаров и титруемых кислот) и дополнительных показателей качества винограда соответствуют установленным значениям.</w:t>
      </w:r>
    </w:p>
    <w:p w:rsidR="002B2CF9" w:rsidRPr="002B2CF9" w:rsidRDefault="002B2CF9" w:rsidP="002B2CF9">
      <w:pPr>
        <w:tabs>
          <w:tab w:val="left" w:pos="1134"/>
        </w:tabs>
        <w:spacing w:after="0" w:line="240" w:lineRule="auto"/>
        <w:ind w:firstLine="709"/>
        <w:jc w:val="both"/>
        <w:rPr>
          <w:rFonts w:ascii="Times New Roman" w:eastAsia="Times New Roman" w:hAnsi="Times New Roman" w:cs="Times New Roman"/>
          <w:sz w:val="28"/>
          <w:szCs w:val="28"/>
          <w:highlight w:val="yellow"/>
          <w:lang w:eastAsia="ru-RU"/>
        </w:rPr>
      </w:pPr>
      <w:r w:rsidRPr="002B2CF9">
        <w:rPr>
          <w:rFonts w:ascii="Times New Roman" w:eastAsia="Times New Roman" w:hAnsi="Times New Roman" w:cs="Times New Roman"/>
          <w:b/>
          <w:sz w:val="30"/>
          <w:szCs w:val="30"/>
          <w:lang w:eastAsia="ru-RU"/>
        </w:rPr>
        <w:t xml:space="preserve">Выводы. </w:t>
      </w:r>
      <w:r w:rsidRPr="002B2CF9">
        <w:rPr>
          <w:rFonts w:ascii="Times New Roman" w:eastAsia="Times New Roman" w:hAnsi="Times New Roman" w:cs="Times New Roman"/>
          <w:sz w:val="30"/>
          <w:szCs w:val="30"/>
          <w:lang w:eastAsia="ru-RU"/>
        </w:rPr>
        <w:t xml:space="preserve">В результате проведенных полевых исследований в условиях Южнобережной зоны виноградарства Крыма по определению </w:t>
      </w:r>
      <w:r w:rsidRPr="002B2CF9">
        <w:rPr>
          <w:rFonts w:ascii="Times New Roman" w:eastAsia="Times New Roman" w:hAnsi="Times New Roman" w:cs="Times New Roman"/>
          <w:sz w:val="28"/>
          <w:szCs w:val="28"/>
          <w:lang w:eastAsia="ru-RU"/>
        </w:rPr>
        <w:t>влияния препаратов нового поколения на продуктивность виноградных насаждений и качество урожая широко распространенного технического сорта Каберне-Совиньон, можно сделать следующие выводы:</w:t>
      </w:r>
    </w:p>
    <w:p w:rsidR="002B2CF9" w:rsidRPr="002B2CF9" w:rsidRDefault="002B2CF9" w:rsidP="002B2CF9">
      <w:pPr>
        <w:numPr>
          <w:ilvl w:val="0"/>
          <w:numId w:val="1"/>
        </w:numPr>
        <w:tabs>
          <w:tab w:val="left" w:pos="993"/>
        </w:tabs>
        <w:spacing w:after="0" w:line="240" w:lineRule="auto"/>
        <w:ind w:firstLine="709"/>
        <w:jc w:val="both"/>
        <w:rPr>
          <w:rFonts w:ascii="Times New Roman" w:eastAsia="Times New Roman" w:hAnsi="Times New Roman" w:cs="Times New Roman"/>
          <w:spacing w:val="-4"/>
          <w:sz w:val="28"/>
          <w:szCs w:val="28"/>
          <w:lang w:eastAsia="ru-RU"/>
        </w:rPr>
      </w:pPr>
      <w:r w:rsidRPr="002B2CF9">
        <w:rPr>
          <w:rFonts w:ascii="Times New Roman" w:eastAsia="Times New Roman" w:hAnsi="Times New Roman" w:cs="Times New Roman"/>
          <w:sz w:val="28"/>
          <w:szCs w:val="28"/>
          <w:lang w:eastAsia="ru-RU"/>
        </w:rPr>
        <w:t xml:space="preserve">Экспериментально доказано позитивное влияние удобрения Нутри-Файт РК и прилипателя Спартан, при их использовании в баковой </w:t>
      </w:r>
      <w:r w:rsidRPr="002B2CF9">
        <w:rPr>
          <w:rFonts w:ascii="Times New Roman" w:eastAsia="Times New Roman" w:hAnsi="Times New Roman" w:cs="Times New Roman"/>
          <w:sz w:val="28"/>
          <w:szCs w:val="28"/>
          <w:lang w:eastAsia="ru-RU"/>
        </w:rPr>
        <w:lastRenderedPageBreak/>
        <w:t xml:space="preserve">смеси пестицидов, на урожай винограда, что подтверждено повышением средней массы грозди относительно эталона, которая составляла 10,4 % (13,3 г) и как следствие – </w:t>
      </w:r>
      <w:r w:rsidRPr="002B2CF9">
        <w:rPr>
          <w:rFonts w:ascii="Times New Roman" w:eastAsia="Times New Roman" w:hAnsi="Times New Roman" w:cs="Times New Roman"/>
          <w:spacing w:val="-4"/>
          <w:sz w:val="28"/>
          <w:szCs w:val="28"/>
          <w:lang w:eastAsia="ru-RU"/>
        </w:rPr>
        <w:t>прибавкой урожая на 11,8 %;</w:t>
      </w:r>
    </w:p>
    <w:p w:rsidR="002B2CF9" w:rsidRPr="002B2CF9" w:rsidRDefault="002B2CF9" w:rsidP="002B2CF9">
      <w:pPr>
        <w:numPr>
          <w:ilvl w:val="0"/>
          <w:numId w:val="1"/>
        </w:numPr>
        <w:tabs>
          <w:tab w:val="left" w:pos="1134"/>
        </w:tabs>
        <w:spacing w:after="0" w:line="240" w:lineRule="auto"/>
        <w:ind w:firstLine="709"/>
        <w:jc w:val="both"/>
        <w:rPr>
          <w:rFonts w:ascii="Times New Roman" w:eastAsia="Times New Roman" w:hAnsi="Times New Roman" w:cs="Times New Roman"/>
          <w:spacing w:val="-6"/>
          <w:sz w:val="28"/>
          <w:szCs w:val="28"/>
          <w:lang w:eastAsia="ru-RU"/>
        </w:rPr>
      </w:pPr>
      <w:r w:rsidRPr="002B2CF9">
        <w:rPr>
          <w:rFonts w:ascii="Times New Roman" w:eastAsia="Times New Roman" w:hAnsi="Times New Roman" w:cs="Times New Roman"/>
          <w:spacing w:val="-6"/>
          <w:sz w:val="28"/>
          <w:szCs w:val="28"/>
          <w:lang w:eastAsia="ru-RU"/>
        </w:rPr>
        <w:t>Установлено, что применение изучаемых препаратов способствует существенному увеличению показателя массовой концентрации сахаров в соке ягод винограда до 21,5 г/100 см</w:t>
      </w:r>
      <w:r w:rsidRPr="002B2CF9">
        <w:rPr>
          <w:rFonts w:ascii="Times New Roman" w:eastAsia="Times New Roman" w:hAnsi="Times New Roman" w:cs="Times New Roman"/>
          <w:spacing w:val="-6"/>
          <w:sz w:val="28"/>
          <w:szCs w:val="28"/>
          <w:vertAlign w:val="superscript"/>
          <w:lang w:eastAsia="ru-RU"/>
        </w:rPr>
        <w:t>3</w:t>
      </w:r>
      <w:r w:rsidRPr="002B2CF9">
        <w:rPr>
          <w:rFonts w:ascii="Times New Roman" w:eastAsia="Times New Roman" w:hAnsi="Times New Roman" w:cs="Times New Roman"/>
          <w:spacing w:val="-6"/>
          <w:sz w:val="28"/>
          <w:szCs w:val="28"/>
          <w:lang w:eastAsia="ru-RU"/>
        </w:rPr>
        <w:t>, в сравнении с эталоном (20,6 г/100 см</w:t>
      </w:r>
      <w:r w:rsidRPr="002B2CF9">
        <w:rPr>
          <w:rFonts w:ascii="Times New Roman" w:eastAsia="Times New Roman" w:hAnsi="Times New Roman" w:cs="Times New Roman"/>
          <w:spacing w:val="-6"/>
          <w:sz w:val="28"/>
          <w:szCs w:val="28"/>
          <w:vertAlign w:val="superscript"/>
          <w:lang w:eastAsia="ru-RU"/>
        </w:rPr>
        <w:t>3</w:t>
      </w:r>
      <w:r w:rsidRPr="002B2CF9">
        <w:rPr>
          <w:rFonts w:ascii="Times New Roman" w:eastAsia="Times New Roman" w:hAnsi="Times New Roman" w:cs="Times New Roman"/>
          <w:spacing w:val="-6"/>
          <w:sz w:val="28"/>
          <w:szCs w:val="28"/>
          <w:lang w:eastAsia="ru-RU"/>
        </w:rPr>
        <w:t>).</w:t>
      </w:r>
    </w:p>
    <w:p w:rsidR="002B2CF9" w:rsidRPr="002B2CF9" w:rsidRDefault="002B2CF9" w:rsidP="002B2CF9">
      <w:pPr>
        <w:spacing w:before="240" w:after="120" w:line="240" w:lineRule="auto"/>
        <w:jc w:val="center"/>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Литература</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1. Рациональное применение регулятора роста растений Вымпел на виноградных насаждениях для повышения силы роста растений, урожая и его качества / А.М. Авидзба и др. // Виноградарство и виноделие. – 2010. – № 1. – С. 12–15.</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val="uk-UA" w:eastAsia="ru-RU"/>
        </w:rPr>
        <w:t xml:space="preserve">2. Алейникова, Н. В. </w:t>
      </w:r>
      <w:r w:rsidRPr="002B2CF9">
        <w:rPr>
          <w:rFonts w:ascii="Times New Roman" w:eastAsia="Times New Roman" w:hAnsi="Times New Roman" w:cs="Times New Roman"/>
          <w:sz w:val="24"/>
          <w:szCs w:val="24"/>
          <w:lang w:eastAsia="uk-UA"/>
        </w:rPr>
        <w:t xml:space="preserve">Влияние комплексного удобрения Нутри-Файт РК на продуктивность виноградного растения / Н. В. Алейникова, П. А. Диденко // </w:t>
      </w:r>
      <w:r w:rsidRPr="002B2CF9">
        <w:rPr>
          <w:rFonts w:ascii="Times New Roman" w:eastAsia="Times New Roman" w:hAnsi="Times New Roman" w:cs="Times New Roman"/>
          <w:sz w:val="24"/>
          <w:szCs w:val="24"/>
          <w:lang w:eastAsia="ru-RU"/>
        </w:rPr>
        <w:t xml:space="preserve">Интеграционная система образования, науки и производства в современном информационном пространстве : Тезисы </w:t>
      </w:r>
      <w:r w:rsidRPr="002B2CF9">
        <w:rPr>
          <w:rFonts w:ascii="Times New Roman" w:eastAsia="Times New Roman" w:hAnsi="Times New Roman" w:cs="Times New Roman"/>
          <w:sz w:val="24"/>
          <w:szCs w:val="24"/>
          <w:lang w:val="en-US" w:eastAsia="ru-RU"/>
        </w:rPr>
        <w:t>III</w:t>
      </w:r>
      <w:r w:rsidRPr="002B2CF9">
        <w:rPr>
          <w:rFonts w:ascii="Times New Roman" w:eastAsia="Times New Roman" w:hAnsi="Times New Roman" w:cs="Times New Roman"/>
          <w:sz w:val="24"/>
          <w:szCs w:val="24"/>
          <w:lang w:eastAsia="ru-RU"/>
        </w:rPr>
        <w:t xml:space="preserve"> Междунар. науч.-практ. конф. – Тернопольская ГСХОС ИКСХП НААН (19-20.05.2016.) – С. 13-14.</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highlight w:val="yellow"/>
          <w:lang w:val="uk-UA" w:eastAsia="ru-RU"/>
        </w:rPr>
      </w:pPr>
      <w:r w:rsidRPr="002B2CF9">
        <w:rPr>
          <w:rFonts w:ascii="Times New Roman" w:eastAsia="Times New Roman" w:hAnsi="Times New Roman" w:cs="Times New Roman"/>
          <w:sz w:val="24"/>
          <w:szCs w:val="24"/>
          <w:lang w:eastAsia="ru-RU"/>
        </w:rPr>
        <w:t>3. Алейникова, Н.В. Биологическая регламентация применения пестицидов с использованием современного адъюванта Кодасайд / Н.В. Алейникова, А.М. Авидзба, П.А. Диденко // Виноградарство и виноделие. – 2015. – № 1. – С. 18–20.</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val="uk-UA" w:eastAsia="ru-RU"/>
        </w:rPr>
        <w:t xml:space="preserve">4. </w:t>
      </w:r>
      <w:r w:rsidRPr="002B2CF9">
        <w:rPr>
          <w:rFonts w:ascii="Times New Roman" w:eastAsia="Times New Roman" w:hAnsi="Times New Roman" w:cs="Times New Roman"/>
          <w:sz w:val="24"/>
          <w:szCs w:val="24"/>
          <w:lang w:eastAsia="ru-RU"/>
        </w:rPr>
        <w:t>Алейникова, Н.В. Элементы интегрированной системы защиты винограда от основных болезней / Н.В. Алейникова, П.А. Диденко, Л.В. Диденко // Виноградарство и виноделие. – 2016. – № 2. – С. 17 – 19.</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 xml:space="preserve">5. Выпова, А.А. Эффективность защитных мероприятий на винограде при применении нового адъюванта Супер Кап / А.А Выпова, А.М. Авидзба, Н.А Якушина // </w:t>
      </w:r>
      <w:r w:rsidRPr="002B2CF9">
        <w:rPr>
          <w:rFonts w:ascii="Times New Roman" w:eastAsia="Times New Roman" w:hAnsi="Times New Roman" w:cs="Times New Roman"/>
          <w:sz w:val="24"/>
          <w:szCs w:val="24"/>
          <w:lang w:val="uk-UA" w:eastAsia="ru-RU"/>
        </w:rPr>
        <w:t>Виноградарство и виноделие</w:t>
      </w:r>
      <w:r w:rsidRPr="002B2CF9">
        <w:rPr>
          <w:rFonts w:ascii="Times New Roman" w:eastAsia="Times New Roman" w:hAnsi="Times New Roman" w:cs="Times New Roman"/>
          <w:sz w:val="24"/>
          <w:szCs w:val="24"/>
          <w:lang w:eastAsia="ru-RU"/>
        </w:rPr>
        <w:t>. – 2013. – № 1. – С. 11–12.</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bCs/>
          <w:sz w:val="24"/>
          <w:szCs w:val="24"/>
          <w:lang w:eastAsia="ru-RU"/>
        </w:rPr>
        <w:t>6. Диденко, П.А. Использование адъюванта Кодасайд для защиты винограда от милдью в условиях Крыма</w:t>
      </w:r>
      <w:r w:rsidRPr="002B2CF9">
        <w:rPr>
          <w:rFonts w:ascii="Times New Roman" w:eastAsia="Times New Roman" w:hAnsi="Times New Roman" w:cs="Times New Roman"/>
          <w:sz w:val="24"/>
          <w:szCs w:val="24"/>
          <w:lang w:eastAsia="ru-RU"/>
        </w:rPr>
        <w:t xml:space="preserve"> </w:t>
      </w:r>
      <w:r w:rsidRPr="002B2CF9">
        <w:rPr>
          <w:rFonts w:ascii="Times New Roman" w:eastAsia="Times New Roman" w:hAnsi="Times New Roman" w:cs="Times New Roman"/>
          <w:bCs/>
          <w:sz w:val="24"/>
          <w:szCs w:val="24"/>
          <w:lang w:eastAsia="ru-RU"/>
        </w:rPr>
        <w:t xml:space="preserve">/ П.А. Диденко // Плодоводство и виноградарство Юга России. – 2015. – № 35 (05). – С. 173 </w:t>
      </w:r>
      <w:r w:rsidRPr="002B2CF9">
        <w:rPr>
          <w:rFonts w:ascii="Times New Roman" w:eastAsia="Times New Roman" w:hAnsi="Times New Roman" w:cs="Times New Roman"/>
          <w:sz w:val="24"/>
          <w:szCs w:val="24"/>
          <w:lang w:eastAsia="ru-RU"/>
        </w:rPr>
        <w:t xml:space="preserve">– </w:t>
      </w:r>
      <w:r w:rsidRPr="002B2CF9">
        <w:rPr>
          <w:rFonts w:ascii="Times New Roman" w:eastAsia="Times New Roman" w:hAnsi="Times New Roman" w:cs="Times New Roman"/>
          <w:bCs/>
          <w:sz w:val="24"/>
          <w:szCs w:val="24"/>
          <w:lang w:eastAsia="ru-RU"/>
        </w:rPr>
        <w:t>182.</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7. Доспехов, Б.А. Планирование полевого опыта и статистическая обработка данных / Б.А. Доспехов. – Москва: Колос, 1979. – 206 с.</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 xml:space="preserve">8. </w:t>
      </w:r>
      <w:r w:rsidRPr="002B2CF9">
        <w:rPr>
          <w:rFonts w:ascii="Times New Roman" w:eastAsia="Times New Roman" w:hAnsi="Times New Roman" w:cs="Times New Roman"/>
          <w:sz w:val="24"/>
          <w:szCs w:val="24"/>
          <w:lang w:val="uk-UA" w:eastAsia="ru-RU"/>
        </w:rPr>
        <w:t xml:space="preserve">Кондиционер для воды Спартан </w:t>
      </w:r>
      <w:r w:rsidRPr="002B2CF9">
        <w:rPr>
          <w:rFonts w:ascii="Times New Roman" w:eastAsia="Times New Roman" w:hAnsi="Times New Roman" w:cs="Times New Roman"/>
          <w:sz w:val="24"/>
          <w:szCs w:val="24"/>
          <w:lang w:eastAsia="ru-RU"/>
        </w:rPr>
        <w:t xml:space="preserve">– супер смачиватель. [Электронный ресурс]. – Режим доступа: </w:t>
      </w:r>
      <w:r w:rsidRPr="002B2CF9">
        <w:rPr>
          <w:rFonts w:ascii="Times New Roman" w:eastAsia="Times New Roman" w:hAnsi="Times New Roman" w:cs="Times New Roman"/>
          <w:sz w:val="24"/>
          <w:szCs w:val="24"/>
          <w:lang w:val="uk-UA" w:eastAsia="ru-RU"/>
        </w:rPr>
        <w:t>yankina-agro.ru/katalog/spartan/</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9. Кулько, И.А. Урожай и качество винограда сорта Саперави под влиянием регулятора роста Вымпел и минеральных удобрении нового поколения / И.А. Кулько, П.П. Радчевский, Н.В. Матузок // Русский виноград. – 2016. – Т. 3. – С. 146–151.</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10. Методические рекомендации по агротехническим исследованиям в виноградарстве Украины. – Ялта: «Магарач», 2004. – 264 с.</w:t>
      </w:r>
    </w:p>
    <w:p w:rsidR="002B2CF9" w:rsidRPr="002B2CF9" w:rsidRDefault="002B2CF9" w:rsidP="002B2CF9">
      <w:pPr>
        <w:spacing w:after="0" w:line="240" w:lineRule="auto"/>
        <w:ind w:firstLine="709"/>
        <w:jc w:val="both"/>
        <w:rPr>
          <w:rFonts w:ascii="Times New Roman" w:eastAsia="Times New Roman" w:hAnsi="Times New Roman" w:cs="Times New Roman"/>
          <w:sz w:val="24"/>
          <w:szCs w:val="24"/>
          <w:lang w:eastAsia="ru-RU"/>
        </w:rPr>
      </w:pPr>
      <w:r w:rsidRPr="002B2CF9">
        <w:rPr>
          <w:rFonts w:ascii="Times New Roman" w:eastAsia="Times New Roman" w:hAnsi="Times New Roman" w:cs="Times New Roman"/>
          <w:sz w:val="24"/>
          <w:szCs w:val="24"/>
          <w:lang w:eastAsia="ru-RU"/>
        </w:rPr>
        <w:t xml:space="preserve">11. Новейшее жидкое листовое удобрение Нутри-Файт – быстрая внекорневая подкормка для всех с/х культур [Электронный ресурс]. – Режим доступа: </w:t>
      </w:r>
      <w:hyperlink r:id="rId7" w:history="1">
        <w:r w:rsidRPr="002B2CF9">
          <w:rPr>
            <w:rFonts w:ascii="Times New Roman" w:eastAsia="Times New Roman" w:hAnsi="Times New Roman" w:cs="Times New Roman"/>
            <w:sz w:val="24"/>
            <w:szCs w:val="24"/>
            <w:lang w:val="uk-UA" w:eastAsia="ru-RU"/>
          </w:rPr>
          <w:t>http://yankina-agro.ru/katalog/nutri-fajt</w:t>
        </w:r>
      </w:hyperlink>
      <w:r w:rsidRPr="002B2CF9">
        <w:rPr>
          <w:rFonts w:ascii="Times New Roman" w:eastAsia="Times New Roman" w:hAnsi="Times New Roman" w:cs="Times New Roman"/>
          <w:sz w:val="24"/>
          <w:szCs w:val="24"/>
          <w:lang w:val="uk-UA" w:eastAsia="ru-RU"/>
        </w:rPr>
        <w:t>.</w:t>
      </w:r>
    </w:p>
    <w:p w:rsidR="002B2CF9" w:rsidRPr="002B2CF9" w:rsidRDefault="002B2CF9" w:rsidP="002B2CF9">
      <w:pPr>
        <w:spacing w:after="0" w:line="240" w:lineRule="auto"/>
        <w:ind w:firstLine="709"/>
        <w:jc w:val="both"/>
        <w:rPr>
          <w:rFonts w:ascii="Times New Roman" w:eastAsia="Times New Roman" w:hAnsi="Times New Roman" w:cs="Times New Roman"/>
          <w:bCs/>
          <w:sz w:val="24"/>
          <w:szCs w:val="24"/>
          <w:lang w:eastAsia="ru-RU"/>
        </w:rPr>
      </w:pPr>
      <w:r w:rsidRPr="002B2CF9">
        <w:rPr>
          <w:rFonts w:ascii="Times New Roman" w:eastAsia="Times New Roman" w:hAnsi="Times New Roman" w:cs="Times New Roman"/>
          <w:sz w:val="24"/>
          <w:szCs w:val="24"/>
          <w:lang w:eastAsia="ru-RU"/>
        </w:rPr>
        <w:t xml:space="preserve">12. </w:t>
      </w:r>
      <w:r w:rsidRPr="002B2CF9">
        <w:rPr>
          <w:rFonts w:ascii="Times New Roman" w:eastAsia="Times New Roman" w:hAnsi="Times New Roman" w:cs="Times New Roman"/>
          <w:bCs/>
          <w:sz w:val="24"/>
          <w:szCs w:val="24"/>
          <w:lang w:eastAsia="ru-RU"/>
        </w:rPr>
        <w:t xml:space="preserve">Рост, развитие и продуктивность сортов при системном удобрении виноградников </w:t>
      </w:r>
      <w:r w:rsidRPr="002B2CF9">
        <w:rPr>
          <w:rFonts w:ascii="Times New Roman" w:eastAsia="Times New Roman" w:hAnsi="Times New Roman" w:cs="Times New Roman"/>
          <w:sz w:val="24"/>
          <w:szCs w:val="24"/>
          <w:lang w:eastAsia="ru-RU"/>
        </w:rPr>
        <w:t xml:space="preserve">[Текст] </w:t>
      </w:r>
      <w:r w:rsidRPr="002B2CF9">
        <w:rPr>
          <w:rFonts w:ascii="Times New Roman" w:eastAsia="Times New Roman" w:hAnsi="Times New Roman" w:cs="Times New Roman"/>
          <w:bCs/>
          <w:sz w:val="24"/>
          <w:szCs w:val="24"/>
          <w:lang w:eastAsia="ru-RU"/>
        </w:rPr>
        <w:t xml:space="preserve">/ К.А. Серпуховитина и др. // Плодоводство и виноградарство Юга России. – 2014. – № 26 (02). – С. 119 </w:t>
      </w:r>
      <w:r w:rsidRPr="002B2CF9">
        <w:rPr>
          <w:rFonts w:ascii="Times New Roman" w:eastAsia="Times New Roman" w:hAnsi="Times New Roman" w:cs="Times New Roman"/>
          <w:sz w:val="24"/>
          <w:szCs w:val="24"/>
          <w:lang w:eastAsia="ru-RU"/>
        </w:rPr>
        <w:t xml:space="preserve">– </w:t>
      </w:r>
      <w:r w:rsidRPr="002B2CF9">
        <w:rPr>
          <w:rFonts w:ascii="Times New Roman" w:eastAsia="Times New Roman" w:hAnsi="Times New Roman" w:cs="Times New Roman"/>
          <w:bCs/>
          <w:sz w:val="24"/>
          <w:szCs w:val="24"/>
          <w:lang w:eastAsia="ru-RU"/>
        </w:rPr>
        <w:t>141.</w:t>
      </w:r>
    </w:p>
    <w:p w:rsidR="00FD7B51" w:rsidRPr="001876F8" w:rsidRDefault="00FD7B51">
      <w:bookmarkStart w:id="0" w:name="_GoBack"/>
      <w:bookmarkEnd w:id="0"/>
    </w:p>
    <w:sectPr w:rsidR="00FD7B51" w:rsidRPr="001876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A2" w:rsidRDefault="008239A2" w:rsidP="00B50365">
      <w:pPr>
        <w:spacing w:after="0" w:line="240" w:lineRule="auto"/>
      </w:pPr>
      <w:r>
        <w:separator/>
      </w:r>
    </w:p>
  </w:endnote>
  <w:endnote w:type="continuationSeparator" w:id="0">
    <w:p w:rsidR="008239A2" w:rsidRDefault="008239A2" w:rsidP="00B5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A2" w:rsidRDefault="008239A2" w:rsidP="00B50365">
      <w:pPr>
        <w:spacing w:after="0" w:line="240" w:lineRule="auto"/>
      </w:pPr>
      <w:r>
        <w:separator/>
      </w:r>
    </w:p>
  </w:footnote>
  <w:footnote w:type="continuationSeparator" w:id="0">
    <w:p w:rsidR="008239A2" w:rsidRDefault="008239A2" w:rsidP="00B50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A17"/>
    <w:multiLevelType w:val="hybridMultilevel"/>
    <w:tmpl w:val="78304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8"/>
    <w:rsid w:val="00065038"/>
    <w:rsid w:val="001876F8"/>
    <w:rsid w:val="00213336"/>
    <w:rsid w:val="002B2CF9"/>
    <w:rsid w:val="003B4FAE"/>
    <w:rsid w:val="006C4562"/>
    <w:rsid w:val="00800A08"/>
    <w:rsid w:val="008239A2"/>
    <w:rsid w:val="00B50365"/>
    <w:rsid w:val="00C6437B"/>
    <w:rsid w:val="00F17722"/>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9B4A-FB0A-4D0A-AC35-7D533E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kina-agro.ru/katalog/nutri-faj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2016-12-19T12:38:00Z</dcterms:created>
  <dcterms:modified xsi:type="dcterms:W3CDTF">2016-12-19T12:38:00Z</dcterms:modified>
</cp:coreProperties>
</file>