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9D8" w:rsidRPr="00D259D8" w:rsidRDefault="00D259D8" w:rsidP="00D259D8">
      <w:pPr>
        <w:widowControl w:val="0"/>
        <w:autoSpaceDE w:val="0"/>
        <w:autoSpaceDN w:val="0"/>
        <w:adjustRightInd w:val="0"/>
        <w:spacing w:before="480" w:after="240" w:line="240" w:lineRule="auto"/>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УДК 634.8 : 631.52</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259D8">
        <w:rPr>
          <w:rFonts w:ascii="Times New Roman" w:eastAsia="Times New Roman" w:hAnsi="Times New Roman" w:cs="Times New Roman"/>
          <w:b/>
          <w:caps/>
          <w:sz w:val="28"/>
          <w:szCs w:val="28"/>
          <w:lang w:eastAsia="ru-RU"/>
        </w:rPr>
        <w:t>Агробиологические свойства сортов винограда</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D259D8">
        <w:rPr>
          <w:rFonts w:ascii="Times New Roman" w:eastAsia="Times New Roman" w:hAnsi="Times New Roman" w:cs="Times New Roman"/>
          <w:b/>
          <w:caps/>
          <w:sz w:val="28"/>
          <w:szCs w:val="28"/>
          <w:lang w:eastAsia="ru-RU"/>
        </w:rPr>
        <w:t>разного эколого-географического происхождения</w:t>
      </w:r>
    </w:p>
    <w:p w:rsidR="00D259D8" w:rsidRPr="00D259D8" w:rsidRDefault="00D259D8" w:rsidP="00D259D8">
      <w:pPr>
        <w:widowControl w:val="0"/>
        <w:autoSpaceDE w:val="0"/>
        <w:autoSpaceDN w:val="0"/>
        <w:adjustRightInd w:val="0"/>
        <w:spacing w:after="240" w:line="240" w:lineRule="auto"/>
        <w:jc w:val="center"/>
        <w:rPr>
          <w:rFonts w:ascii="Times New Roman" w:eastAsia="Times New Roman" w:hAnsi="Times New Roman" w:cs="Times New Roman"/>
          <w:b/>
          <w:caps/>
          <w:sz w:val="28"/>
          <w:szCs w:val="28"/>
          <w:lang w:eastAsia="ru-RU"/>
        </w:rPr>
      </w:pPr>
      <w:r w:rsidRPr="00D259D8">
        <w:rPr>
          <w:rFonts w:ascii="Times New Roman" w:eastAsia="Times New Roman" w:hAnsi="Times New Roman" w:cs="Times New Roman"/>
          <w:b/>
          <w:caps/>
          <w:sz w:val="28"/>
          <w:szCs w:val="28"/>
          <w:lang w:eastAsia="ru-RU"/>
        </w:rPr>
        <w:t>в условиях умеренно континентального климата юга России</w:t>
      </w:r>
      <w:r w:rsidRPr="00D259D8">
        <w:rPr>
          <w:rFonts w:ascii="Times New Roman" w:eastAsia="Times New Roman" w:hAnsi="Times New Roman" w:cs="Times New Roman"/>
          <w:b/>
          <w:caps/>
          <w:sz w:val="28"/>
          <w:szCs w:val="28"/>
          <w:vertAlign w:val="superscript"/>
          <w:lang w:eastAsia="ru-RU"/>
        </w:rPr>
        <w:footnoteReference w:customMarkFollows="1" w:id="1"/>
        <w:t>*</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D259D8">
        <w:rPr>
          <w:rFonts w:ascii="Times New Roman" w:eastAsia="Times New Roman" w:hAnsi="Times New Roman" w:cs="Times New Roman"/>
          <w:b/>
          <w:bCs/>
          <w:sz w:val="28"/>
          <w:szCs w:val="28"/>
          <w:lang w:val="en-US" w:eastAsia="ru-RU"/>
        </w:rPr>
        <w:t>AGROBIOLOGICAL CHARACTERISTICS OF GRAPE CULTIVARS WITH DIFFERENT ECOLOGO-GEOGRAPHICAL ORIGIN</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D259D8">
        <w:rPr>
          <w:rFonts w:ascii="Times New Roman" w:eastAsia="Times New Roman" w:hAnsi="Times New Roman" w:cs="Times New Roman"/>
          <w:b/>
          <w:bCs/>
          <w:sz w:val="28"/>
          <w:szCs w:val="28"/>
          <w:lang w:val="en-US" w:eastAsia="ru-RU"/>
        </w:rPr>
        <w:t>IN CONDITIONS OF MODERATE CONTINENTAL</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D259D8">
        <w:rPr>
          <w:rFonts w:ascii="Times New Roman" w:eastAsia="Times New Roman" w:hAnsi="Times New Roman" w:cs="Times New Roman"/>
          <w:b/>
          <w:bCs/>
          <w:sz w:val="28"/>
          <w:szCs w:val="28"/>
          <w:lang w:val="en-US" w:eastAsia="ru-RU"/>
        </w:rPr>
        <w:t>CLIMATE SOUTH OF RUSSIA</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24"/>
          <w:lang w:val="en-US" w:eastAsia="ru-RU"/>
        </w:rPr>
      </w:pPr>
    </w:p>
    <w:tbl>
      <w:tblPr>
        <w:tblW w:w="9061" w:type="dxa"/>
        <w:tblLook w:val="04A0" w:firstRow="1" w:lastRow="0" w:firstColumn="1" w:lastColumn="0" w:noHBand="0" w:noVBand="1"/>
      </w:tblPr>
      <w:tblGrid>
        <w:gridCol w:w="4678"/>
        <w:gridCol w:w="4383"/>
      </w:tblGrid>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r w:rsidRPr="00D259D8">
              <w:rPr>
                <w:rFonts w:ascii="Times New Roman" w:eastAsia="MS Mincho" w:hAnsi="Times New Roman" w:cs="Times New Roman"/>
                <w:i/>
                <w:sz w:val="24"/>
                <w:szCs w:val="24"/>
                <w:lang w:eastAsia="ru-RU"/>
              </w:rPr>
              <w:t>В.С. Петров, И.А. Ильина</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b/>
                <w:sz w:val="24"/>
                <w:szCs w:val="24"/>
                <w:lang w:eastAsia="ru-RU"/>
              </w:rPr>
            </w:pP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r w:rsidRPr="00D259D8">
              <w:rPr>
                <w:rFonts w:ascii="Times New Roman" w:eastAsia="MS Mincho" w:hAnsi="Times New Roman" w:cs="Times New Roman"/>
                <w:i/>
                <w:sz w:val="24"/>
                <w:szCs w:val="24"/>
                <w:lang w:val="en-US" w:eastAsia="ru-RU"/>
              </w:rPr>
              <w:t xml:space="preserve">V.S. Petrov, I.A. </w:t>
            </w:r>
            <w:r w:rsidRPr="00D259D8">
              <w:rPr>
                <w:rFonts w:ascii="Times New Roman" w:eastAsia="MS Mincho" w:hAnsi="Times New Roman" w:cs="Times New Roman"/>
                <w:i/>
                <w:snapToGrid w:val="0"/>
                <w:sz w:val="24"/>
                <w:szCs w:val="24"/>
                <w:lang w:val="en-US" w:eastAsia="ru-RU"/>
              </w:rPr>
              <w:t>Ilina</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p>
        </w:tc>
      </w:tr>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ФГБНУ «Северо-Кавказский зональный НИИ садоводства и виноградарства»,</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Россия, г. Краснодар</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е-</w:t>
            </w:r>
            <w:r w:rsidRPr="00D259D8">
              <w:rPr>
                <w:rFonts w:ascii="Times New Roman" w:eastAsia="MS Mincho" w:hAnsi="Times New Roman" w:cs="Times New Roman"/>
                <w:sz w:val="24"/>
                <w:szCs w:val="24"/>
                <w:lang w:val="en-US" w:eastAsia="ru-RU"/>
              </w:rPr>
              <w:t>mail</w:t>
            </w:r>
            <w:r w:rsidRPr="00D259D8">
              <w:rPr>
                <w:rFonts w:ascii="Times New Roman" w:eastAsia="MS Mincho" w:hAnsi="Times New Roman" w:cs="Times New Roman"/>
                <w:sz w:val="24"/>
                <w:szCs w:val="24"/>
                <w:lang w:eastAsia="ru-RU"/>
              </w:rPr>
              <w:t xml:space="preserve">: </w:t>
            </w:r>
            <w:hyperlink r:id="rId7" w:history="1">
              <w:r w:rsidRPr="00D259D8">
                <w:rPr>
                  <w:rFonts w:ascii="Times New Roman" w:eastAsia="MS Mincho" w:hAnsi="Times New Roman" w:cs="Times New Roman"/>
                  <w:sz w:val="24"/>
                  <w:szCs w:val="24"/>
                  <w:lang w:val="en-US" w:eastAsia="ru-RU"/>
                </w:rPr>
                <w:t>petrov</w:t>
              </w:r>
              <w:r w:rsidRPr="00D259D8">
                <w:rPr>
                  <w:rFonts w:ascii="Times New Roman" w:eastAsia="MS Mincho" w:hAnsi="Times New Roman" w:cs="Times New Roman"/>
                  <w:sz w:val="24"/>
                  <w:szCs w:val="24"/>
                  <w:lang w:eastAsia="ru-RU"/>
                </w:rPr>
                <w:t>_53@</w:t>
              </w:r>
              <w:r w:rsidRPr="00D259D8">
                <w:rPr>
                  <w:rFonts w:ascii="Times New Roman" w:eastAsia="MS Mincho" w:hAnsi="Times New Roman" w:cs="Times New Roman"/>
                  <w:sz w:val="24"/>
                  <w:szCs w:val="24"/>
                  <w:lang w:val="en-US" w:eastAsia="ru-RU"/>
                </w:rPr>
                <w:t>mail</w:t>
              </w:r>
              <w:r w:rsidRPr="00D259D8">
                <w:rPr>
                  <w:rFonts w:ascii="Times New Roman" w:eastAsia="MS Mincho" w:hAnsi="Times New Roman" w:cs="Times New Roman"/>
                  <w:sz w:val="24"/>
                  <w:szCs w:val="24"/>
                  <w:lang w:eastAsia="ru-RU"/>
                </w:rPr>
                <w:t>.</w:t>
              </w:r>
              <w:r w:rsidRPr="00D259D8">
                <w:rPr>
                  <w:rFonts w:ascii="Times New Roman" w:eastAsia="MS Mincho" w:hAnsi="Times New Roman" w:cs="Times New Roman"/>
                  <w:sz w:val="24"/>
                  <w:szCs w:val="24"/>
                  <w:lang w:val="en-US" w:eastAsia="ru-RU"/>
                </w:rPr>
                <w:t>ru</w:t>
              </w:r>
            </w:hyperlink>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sidRPr="00D259D8">
              <w:rPr>
                <w:rFonts w:ascii="Times New Roman" w:eastAsia="MS Mincho" w:hAnsi="Times New Roman" w:cs="Times New Roman"/>
                <w:sz w:val="24"/>
                <w:szCs w:val="24"/>
                <w:lang w:val="en-US" w:eastAsia="ru-RU"/>
              </w:rPr>
              <w:t>North Caucasian Regional Research Institute of Horticulture and Viticulture, Russia, Krasnodar</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sidRPr="00D259D8">
              <w:rPr>
                <w:rFonts w:ascii="Times New Roman" w:eastAsia="MS Mincho" w:hAnsi="Times New Roman" w:cs="Times New Roman"/>
                <w:sz w:val="24"/>
                <w:szCs w:val="24"/>
                <w:lang w:eastAsia="ru-RU"/>
              </w:rPr>
              <w:t>е</w:t>
            </w:r>
            <w:r w:rsidRPr="00D259D8">
              <w:rPr>
                <w:rFonts w:ascii="Times New Roman" w:eastAsia="MS Mincho" w:hAnsi="Times New Roman" w:cs="Times New Roman"/>
                <w:sz w:val="24"/>
                <w:szCs w:val="24"/>
                <w:lang w:val="en-US" w:eastAsia="ru-RU"/>
              </w:rPr>
              <w:t xml:space="preserve">-mail: </w:t>
            </w:r>
            <w:hyperlink r:id="rId8" w:history="1">
              <w:r w:rsidRPr="00D259D8">
                <w:rPr>
                  <w:rFonts w:ascii="Times New Roman" w:eastAsia="MS Mincho" w:hAnsi="Times New Roman" w:cs="Times New Roman"/>
                  <w:sz w:val="24"/>
                  <w:szCs w:val="24"/>
                  <w:lang w:val="en-US" w:eastAsia="ru-RU"/>
                </w:rPr>
                <w:t>petrov_53@mail.ru</w:t>
              </w:r>
            </w:hyperlink>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p>
        </w:tc>
      </w:tr>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r w:rsidRPr="00D259D8">
              <w:rPr>
                <w:rFonts w:ascii="Times New Roman" w:eastAsia="MS Mincho" w:hAnsi="Times New Roman" w:cs="Times New Roman"/>
                <w:i/>
                <w:sz w:val="24"/>
                <w:szCs w:val="24"/>
                <w:lang w:eastAsia="ru-RU"/>
              </w:rPr>
              <w:t>М.И. Панкин, А.Г. Коваленко</w:t>
            </w: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r w:rsidRPr="00D259D8">
              <w:rPr>
                <w:rFonts w:ascii="Times New Roman" w:eastAsia="MS Mincho" w:hAnsi="Times New Roman" w:cs="Times New Roman"/>
                <w:i/>
                <w:sz w:val="24"/>
                <w:szCs w:val="24"/>
                <w:lang w:val="en-US" w:eastAsia="ru-RU"/>
              </w:rPr>
              <w:t>M.I. Pankin, A.G. Kovalenko</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p>
        </w:tc>
      </w:tr>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ФГБНУ «Анапская зональная опытная станция виноградарства и виноделия»,</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 xml:space="preserve">Россия, г.-к. Анапа </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sz w:val="24"/>
                <w:szCs w:val="24"/>
                <w:lang w:eastAsia="ru-RU"/>
              </w:rPr>
              <w:t>е-</w:t>
            </w:r>
            <w:r w:rsidRPr="00D259D8">
              <w:rPr>
                <w:rFonts w:ascii="Times New Roman" w:eastAsia="MS Mincho" w:hAnsi="Times New Roman" w:cs="Times New Roman"/>
                <w:sz w:val="24"/>
                <w:szCs w:val="24"/>
                <w:lang w:val="en-US" w:eastAsia="ru-RU"/>
              </w:rPr>
              <w:t>mail</w:t>
            </w:r>
            <w:r w:rsidRPr="00D259D8">
              <w:rPr>
                <w:rFonts w:ascii="Times New Roman" w:eastAsia="MS Mincho" w:hAnsi="Times New Roman" w:cs="Times New Roman"/>
                <w:sz w:val="24"/>
                <w:szCs w:val="24"/>
                <w:lang w:eastAsia="ru-RU"/>
              </w:rPr>
              <w:t xml:space="preserve">: </w:t>
            </w:r>
            <w:r w:rsidRPr="00D259D8">
              <w:rPr>
                <w:rFonts w:ascii="Times New Roman" w:eastAsia="MS Mincho" w:hAnsi="Times New Roman" w:cs="Times New Roman"/>
                <w:sz w:val="24"/>
                <w:szCs w:val="24"/>
                <w:lang w:val="en-US" w:eastAsia="ru-RU"/>
              </w:rPr>
              <w:t>azosviv</w:t>
            </w:r>
            <w:r w:rsidRPr="00D259D8">
              <w:rPr>
                <w:rFonts w:ascii="Times New Roman" w:eastAsia="MS Mincho" w:hAnsi="Times New Roman" w:cs="Times New Roman"/>
                <w:sz w:val="24"/>
                <w:szCs w:val="24"/>
                <w:lang w:eastAsia="ru-RU"/>
              </w:rPr>
              <w:t xml:space="preserve">@ </w:t>
            </w:r>
            <w:r w:rsidRPr="00D259D8">
              <w:rPr>
                <w:rFonts w:ascii="Times New Roman" w:eastAsia="MS Mincho" w:hAnsi="Times New Roman" w:cs="Times New Roman"/>
                <w:sz w:val="24"/>
                <w:szCs w:val="24"/>
                <w:lang w:val="en-US" w:eastAsia="ru-RU"/>
              </w:rPr>
              <w:t>mail</w:t>
            </w:r>
            <w:r w:rsidRPr="00D259D8">
              <w:rPr>
                <w:rFonts w:ascii="Times New Roman" w:eastAsia="MS Mincho" w:hAnsi="Times New Roman" w:cs="Times New Roman"/>
                <w:sz w:val="24"/>
                <w:szCs w:val="24"/>
                <w:lang w:eastAsia="ru-RU"/>
              </w:rPr>
              <w:t>.</w:t>
            </w:r>
            <w:r w:rsidRPr="00D259D8">
              <w:rPr>
                <w:rFonts w:ascii="Times New Roman" w:eastAsia="MS Mincho" w:hAnsi="Times New Roman" w:cs="Times New Roman"/>
                <w:sz w:val="24"/>
                <w:szCs w:val="24"/>
                <w:lang w:val="en-US" w:eastAsia="ru-RU"/>
              </w:rPr>
              <w:t>ru</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sidRPr="00D259D8">
              <w:rPr>
                <w:rFonts w:ascii="Times New Roman" w:eastAsia="MS Mincho" w:hAnsi="Times New Roman" w:cs="Times New Roman"/>
                <w:sz w:val="24"/>
                <w:szCs w:val="24"/>
                <w:lang w:val="en-US" w:eastAsia="ru-RU"/>
              </w:rPr>
              <w:t xml:space="preserve">Anapa’s Zonal Experimental Station </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sidRPr="00D259D8">
              <w:rPr>
                <w:rFonts w:ascii="Times New Roman" w:eastAsia="MS Mincho" w:hAnsi="Times New Roman" w:cs="Times New Roman"/>
                <w:sz w:val="24"/>
                <w:szCs w:val="24"/>
                <w:lang w:val="en-US" w:eastAsia="ru-RU"/>
              </w:rPr>
              <w:t xml:space="preserve">of Viticulture and Wine-making, Russia, Anapa </w:t>
            </w:r>
            <w:r w:rsidRPr="00D259D8">
              <w:rPr>
                <w:rFonts w:ascii="Times New Roman" w:eastAsia="MS Mincho" w:hAnsi="Times New Roman" w:cs="Times New Roman"/>
                <w:sz w:val="24"/>
                <w:szCs w:val="24"/>
                <w:lang w:eastAsia="ru-RU"/>
              </w:rPr>
              <w:t>е</w:t>
            </w:r>
            <w:r w:rsidRPr="00D259D8">
              <w:rPr>
                <w:rFonts w:ascii="Times New Roman" w:eastAsia="MS Mincho" w:hAnsi="Times New Roman" w:cs="Times New Roman"/>
                <w:sz w:val="24"/>
                <w:szCs w:val="24"/>
                <w:lang w:val="en-US" w:eastAsia="ru-RU"/>
              </w:rPr>
              <w:t xml:space="preserve">-mail: </w:t>
            </w:r>
            <w:hyperlink r:id="rId9" w:history="1">
              <w:r w:rsidRPr="00D259D8">
                <w:rPr>
                  <w:rFonts w:ascii="Times New Roman" w:eastAsia="MS Mincho" w:hAnsi="Times New Roman" w:cs="Times New Roman"/>
                  <w:sz w:val="24"/>
                  <w:szCs w:val="24"/>
                  <w:lang w:val="en-US" w:eastAsia="ru-RU"/>
                </w:rPr>
                <w:t>azosviv@mail.ru</w:t>
              </w:r>
            </w:hyperlink>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p>
        </w:tc>
      </w:tr>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D259D8">
              <w:rPr>
                <w:rFonts w:ascii="Times New Roman" w:eastAsia="MS Mincho" w:hAnsi="Times New Roman" w:cs="Times New Roman"/>
                <w:b/>
                <w:sz w:val="24"/>
                <w:szCs w:val="24"/>
                <w:lang w:eastAsia="ru-RU"/>
              </w:rPr>
              <w:t xml:space="preserve">Аннотация. </w:t>
            </w:r>
            <w:r w:rsidRPr="00D259D8">
              <w:rPr>
                <w:rFonts w:ascii="Times New Roman" w:eastAsia="MS Mincho" w:hAnsi="Times New Roman" w:cs="Times New Roman"/>
                <w:sz w:val="24"/>
                <w:szCs w:val="24"/>
                <w:lang w:eastAsia="ru-RU"/>
              </w:rPr>
              <w:t>Приводятся результаты сравнительного изучения (2007–2015 гг.) адаптивных и хозяйственно ценных признаков сортов винограда разного эколого-географического происхождения в нестабильных погодных условиях умеренно континентального климата юга России.</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sz w:val="24"/>
                <w:szCs w:val="24"/>
                <w:lang w:val="en-US" w:eastAsia="ru-RU"/>
              </w:rPr>
            </w:pPr>
            <w:r w:rsidRPr="00D259D8">
              <w:rPr>
                <w:rFonts w:ascii="Times New Roman" w:eastAsia="MS Mincho" w:hAnsi="Times New Roman" w:cs="Times New Roman"/>
                <w:b/>
                <w:bCs/>
                <w:sz w:val="24"/>
                <w:szCs w:val="24"/>
                <w:lang w:val="en-US" w:eastAsia="ru-RU"/>
              </w:rPr>
              <w:t xml:space="preserve">Summary. </w:t>
            </w:r>
            <w:r w:rsidRPr="00D259D8">
              <w:rPr>
                <w:rFonts w:ascii="Times New Roman" w:eastAsia="MS Mincho" w:hAnsi="Times New Roman" w:cs="Times New Roman"/>
                <w:sz w:val="24"/>
                <w:szCs w:val="24"/>
                <w:lang w:val="en-US" w:eastAsia="ru-RU"/>
              </w:rPr>
              <w:t>The results of a comparative study (2007–2015 years.) adaptive and economically valuable signs of grape cultivars with different ecological and geographical origin in unstable weather conditions of moderate continental climate of the south of Russia.</w:t>
            </w:r>
          </w:p>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p>
        </w:tc>
      </w:tr>
      <w:tr w:rsidR="00D259D8" w:rsidRPr="00D259D8" w:rsidTr="00D539E6">
        <w:tc>
          <w:tcPr>
            <w:tcW w:w="4678"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eastAsia="ru-RU"/>
              </w:rPr>
            </w:pPr>
            <w:r w:rsidRPr="00D259D8">
              <w:rPr>
                <w:rFonts w:ascii="Times New Roman" w:eastAsia="MS Mincho" w:hAnsi="Times New Roman" w:cs="Times New Roman"/>
                <w:b/>
                <w:sz w:val="24"/>
                <w:szCs w:val="24"/>
                <w:lang w:eastAsia="ru-RU"/>
              </w:rPr>
              <w:t xml:space="preserve">Ключевые слова: </w:t>
            </w:r>
            <w:r w:rsidRPr="00D259D8">
              <w:rPr>
                <w:rFonts w:ascii="Times New Roman" w:eastAsia="MS Mincho" w:hAnsi="Times New Roman" w:cs="Times New Roman"/>
                <w:sz w:val="24"/>
                <w:szCs w:val="24"/>
                <w:lang w:eastAsia="ru-RU"/>
              </w:rPr>
              <w:t>виноград, сорт, эколого-географическое происхождение, среда обитания, сохранность глазков, продуктивность, качество сока ягод.</w:t>
            </w:r>
          </w:p>
        </w:tc>
        <w:tc>
          <w:tcPr>
            <w:tcW w:w="4383" w:type="dxa"/>
            <w:shd w:val="clear" w:color="auto" w:fill="auto"/>
          </w:tcPr>
          <w:p w:rsidR="00D259D8" w:rsidRPr="00D259D8" w:rsidRDefault="00D259D8" w:rsidP="00D259D8">
            <w:pPr>
              <w:widowControl w:val="0"/>
              <w:autoSpaceDE w:val="0"/>
              <w:autoSpaceDN w:val="0"/>
              <w:adjustRightInd w:val="0"/>
              <w:spacing w:after="0" w:line="240" w:lineRule="auto"/>
              <w:jc w:val="both"/>
              <w:rPr>
                <w:rFonts w:ascii="Times New Roman" w:eastAsia="MS Mincho" w:hAnsi="Times New Roman" w:cs="Times New Roman"/>
                <w:i/>
                <w:sz w:val="24"/>
                <w:szCs w:val="24"/>
                <w:lang w:val="en-US" w:eastAsia="ru-RU"/>
              </w:rPr>
            </w:pPr>
            <w:r w:rsidRPr="00D259D8">
              <w:rPr>
                <w:rFonts w:ascii="Times New Roman" w:eastAsia="MS Mincho" w:hAnsi="Times New Roman" w:cs="Times New Roman"/>
                <w:b/>
                <w:bCs/>
                <w:sz w:val="24"/>
                <w:szCs w:val="24"/>
                <w:lang w:val="en-US" w:eastAsia="ru-RU"/>
              </w:rPr>
              <w:t xml:space="preserve">Key words: </w:t>
            </w:r>
            <w:r w:rsidRPr="00D259D8">
              <w:rPr>
                <w:rFonts w:ascii="Times New Roman" w:eastAsia="MS Mincho" w:hAnsi="Times New Roman" w:cs="Times New Roman"/>
                <w:sz w:val="24"/>
                <w:szCs w:val="24"/>
                <w:lang w:val="en-US" w:eastAsia="ru-RU"/>
              </w:rPr>
              <w:t>grape, cultivar, ecologo-geographical origin, surrounding, survivability of eyes, productivity, quality of berries juice.</w:t>
            </w:r>
          </w:p>
        </w:tc>
      </w:tr>
    </w:tbl>
    <w:p w:rsidR="00D259D8" w:rsidRPr="00D259D8" w:rsidRDefault="00D259D8" w:rsidP="00D259D8">
      <w:pPr>
        <w:widowControl w:val="0"/>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b/>
          <w:sz w:val="30"/>
          <w:szCs w:val="30"/>
          <w:lang w:eastAsia="ru-RU"/>
        </w:rPr>
        <w:t>Введение.</w:t>
      </w:r>
      <w:r w:rsidRPr="00D259D8">
        <w:rPr>
          <w:rFonts w:ascii="Times New Roman" w:eastAsia="Times New Roman" w:hAnsi="Times New Roman" w:cs="Times New Roman"/>
          <w:sz w:val="30"/>
          <w:szCs w:val="30"/>
          <w:lang w:eastAsia="ru-RU"/>
        </w:rPr>
        <w:t xml:space="preserve"> Расширение растительных генетических ресурсов имеет важное значение в биологии, особенно для культивируемых видов, с целью их вовлечения в селекционный и производственный сельскохозяйственный процессы для решения важнейших народно-хозяйственных задач, связанных с сохранением национального достояния и продовольственной безопасностью населения, расширением </w:t>
      </w:r>
      <w:r w:rsidRPr="00D259D8">
        <w:rPr>
          <w:rFonts w:ascii="Times New Roman" w:eastAsia="Times New Roman" w:hAnsi="Times New Roman" w:cs="Times New Roman"/>
          <w:sz w:val="30"/>
          <w:szCs w:val="30"/>
          <w:lang w:eastAsia="ru-RU"/>
        </w:rPr>
        <w:lastRenderedPageBreak/>
        <w:t>культивируемого биоразнообразия по критериям и параметрам продукционного потенциала, биологическим и хозяйственно ценным признакам.</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Эта проблема актуализировалась в последние десятилетия в связи с глобальными и локальными изменениями климата, повышением спроса на генотипы с повышенной устойчивостью к абиотическим стрессорам, высоким уровнем реализации потенциала хозяйственной продуктивности и качества пищевой продукции [1, 2, 3, 4, 5].</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D259D8">
        <w:rPr>
          <w:rFonts w:ascii="Times New Roman" w:eastAsia="Times New Roman" w:hAnsi="Times New Roman" w:cs="Times New Roman"/>
          <w:spacing w:val="-2"/>
          <w:sz w:val="30"/>
          <w:szCs w:val="30"/>
          <w:lang w:eastAsia="ru-RU"/>
        </w:rPr>
        <w:t>Выявление и активное вовлечение видового разнообразия винограда в народное хозяйство должно опираться на широкие научные исследования биологических и хозяйственно ценных признаков сортов и форм винограда. Такие исследования проводят селекционеры как правило при создании новых сортов и форм винограда. Изучение осуществляется в экологических условиях по месту их создания [6, 7, 8].</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D259D8">
        <w:rPr>
          <w:rFonts w:ascii="Times New Roman" w:eastAsia="Times New Roman" w:hAnsi="Times New Roman" w:cs="Times New Roman"/>
          <w:spacing w:val="2"/>
          <w:sz w:val="30"/>
          <w:szCs w:val="30"/>
          <w:lang w:eastAsia="ru-RU"/>
        </w:rPr>
        <w:t>Для сравнительной оценки растительных ресурсов важно изучать сорта винограда в одинаковых агроэкологических условиях. Для этого лучше всего подходят ампелографические коллекции генофонда, аккумулирующих на локальной территории с однородными экологическими условиями большое разнообразие сортов винограда различного видового происхождения, в том числе эколого - географического.</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30"/>
          <w:szCs w:val="30"/>
          <w:lang w:eastAsia="ru-RU"/>
        </w:rPr>
      </w:pPr>
      <w:r w:rsidRPr="00D259D8">
        <w:rPr>
          <w:rFonts w:ascii="Times New Roman" w:eastAsia="Times New Roman" w:hAnsi="Times New Roman" w:cs="Times New Roman"/>
          <w:spacing w:val="2"/>
          <w:sz w:val="30"/>
          <w:szCs w:val="30"/>
          <w:lang w:eastAsia="ru-RU"/>
        </w:rPr>
        <w:t>Цель настоящих</w:t>
      </w:r>
      <w:r w:rsidRPr="00D259D8">
        <w:rPr>
          <w:rFonts w:ascii="Times New Roman" w:eastAsia="Times New Roman" w:hAnsi="Times New Roman" w:cs="Times New Roman"/>
          <w:spacing w:val="-2"/>
          <w:sz w:val="30"/>
          <w:szCs w:val="30"/>
          <w:lang w:eastAsia="ru-RU"/>
        </w:rPr>
        <w:t xml:space="preserve"> исследований: изучение агробиологических свойств сортов винограда разного эколого-географического происхождения в условиях умеренно континентального климата юга России.</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b/>
          <w:sz w:val="30"/>
          <w:szCs w:val="30"/>
          <w:lang w:eastAsia="ru-RU"/>
        </w:rPr>
        <w:t xml:space="preserve">Объекты и методы исследований. </w:t>
      </w:r>
      <w:r w:rsidRPr="00D259D8">
        <w:rPr>
          <w:rFonts w:ascii="Times New Roman" w:eastAsia="Times New Roman" w:hAnsi="Times New Roman" w:cs="Times New Roman"/>
          <w:sz w:val="30"/>
          <w:szCs w:val="30"/>
          <w:lang w:eastAsia="ru-RU"/>
        </w:rPr>
        <w:t>В качестве объекта исследований использовали сорта винограда разных по эколого-географическому происхождению: западноевропейские (</w:t>
      </w:r>
      <w:r w:rsidRPr="00D259D8">
        <w:rPr>
          <w:rFonts w:ascii="Times New Roman" w:eastAsia="Times New Roman" w:hAnsi="Times New Roman" w:cs="Times New Roman"/>
          <w:sz w:val="30"/>
          <w:szCs w:val="30"/>
          <w:lang w:val="en-US" w:eastAsia="ru-RU"/>
        </w:rPr>
        <w:t>Convar</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occidentalis</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Negr</w:t>
      </w:r>
      <w:r w:rsidRPr="00D259D8">
        <w:rPr>
          <w:rFonts w:ascii="Times New Roman" w:eastAsia="Times New Roman" w:hAnsi="Times New Roman" w:cs="Times New Roman"/>
          <w:sz w:val="30"/>
          <w:szCs w:val="30"/>
          <w:lang w:eastAsia="ru-RU"/>
        </w:rPr>
        <w:t>.), восточные (</w:t>
      </w:r>
      <w:r w:rsidRPr="00D259D8">
        <w:rPr>
          <w:rFonts w:ascii="Times New Roman" w:eastAsia="Times New Roman" w:hAnsi="Times New Roman" w:cs="Times New Roman"/>
          <w:sz w:val="30"/>
          <w:szCs w:val="30"/>
          <w:lang w:val="en-US" w:eastAsia="ru-RU"/>
        </w:rPr>
        <w:t>Convar</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orientalis</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Negr</w:t>
      </w:r>
      <w:r w:rsidRPr="00D259D8">
        <w:rPr>
          <w:rFonts w:ascii="Times New Roman" w:eastAsia="Times New Roman" w:hAnsi="Times New Roman" w:cs="Times New Roman"/>
          <w:sz w:val="30"/>
          <w:szCs w:val="30"/>
          <w:lang w:eastAsia="ru-RU"/>
        </w:rPr>
        <w:t>.), побережья Черного моря (</w:t>
      </w:r>
      <w:r w:rsidRPr="00D259D8">
        <w:rPr>
          <w:rFonts w:ascii="Times New Roman" w:eastAsia="Times New Roman" w:hAnsi="Times New Roman" w:cs="Times New Roman"/>
          <w:sz w:val="30"/>
          <w:szCs w:val="30"/>
          <w:lang w:val="en-US" w:eastAsia="ru-RU"/>
        </w:rPr>
        <w:t>Convar</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pontica</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Negr</w:t>
      </w:r>
      <w:r w:rsidRPr="00D259D8">
        <w:rPr>
          <w:rFonts w:ascii="Times New Roman" w:eastAsia="Times New Roman" w:hAnsi="Times New Roman" w:cs="Times New Roman"/>
          <w:sz w:val="30"/>
          <w:szCs w:val="30"/>
          <w:lang w:eastAsia="ru-RU"/>
        </w:rPr>
        <w:t xml:space="preserve">.), внутривидовые гибриды </w:t>
      </w:r>
      <w:r w:rsidRPr="00D259D8">
        <w:rPr>
          <w:rFonts w:ascii="Times New Roman" w:eastAsia="Times New Roman" w:hAnsi="Times New Roman" w:cs="Times New Roman"/>
          <w:sz w:val="30"/>
          <w:szCs w:val="30"/>
          <w:lang w:val="en-US" w:eastAsia="ru-RU"/>
        </w:rPr>
        <w:t>V</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vinifera</w:t>
      </w:r>
      <w:r w:rsidRPr="00D259D8">
        <w:rPr>
          <w:rFonts w:ascii="Times New Roman" w:eastAsia="Times New Roman" w:hAnsi="Times New Roman" w:cs="Times New Roman"/>
          <w:sz w:val="30"/>
          <w:szCs w:val="30"/>
          <w:lang w:eastAsia="ru-RU"/>
        </w:rPr>
        <w:t xml:space="preserve"> </w:t>
      </w:r>
      <w:r w:rsidRPr="00D259D8">
        <w:rPr>
          <w:rFonts w:ascii="Times New Roman" w:eastAsia="Times New Roman" w:hAnsi="Times New Roman" w:cs="Times New Roman"/>
          <w:sz w:val="30"/>
          <w:szCs w:val="30"/>
          <w:lang w:val="en-US" w:eastAsia="ru-RU"/>
        </w:rPr>
        <w:t>L</w:t>
      </w:r>
      <w:r w:rsidRPr="00D259D8">
        <w:rPr>
          <w:rFonts w:ascii="Times New Roman" w:eastAsia="Times New Roman" w:hAnsi="Times New Roman" w:cs="Times New Roman"/>
          <w:sz w:val="30"/>
          <w:szCs w:val="30"/>
          <w:lang w:eastAsia="ru-RU"/>
        </w:rPr>
        <w:t xml:space="preserve">. и межвидовые гибриды. В каждой группе изучали на ампелографической коллекции по 10 наименований сортов столового и технического направления использования. Сравнительное изучение сортов выполнено в одинаковых агроэкологических условиях анапо-таманской подзоны черноморской зоны виноградарства в </w:t>
      </w:r>
      <w:r w:rsidRPr="00D259D8">
        <w:rPr>
          <w:rFonts w:ascii="Times New Roman" w:eastAsia="Times New Roman" w:hAnsi="Times New Roman" w:cs="Times New Roman"/>
          <w:color w:val="000000"/>
          <w:sz w:val="30"/>
          <w:szCs w:val="30"/>
          <w:lang w:eastAsia="ru-RU"/>
        </w:rPr>
        <w:t>умеренно-континентальном климате юга России.</w:t>
      </w:r>
      <w:r w:rsidRPr="00D259D8">
        <w:rPr>
          <w:rFonts w:ascii="Times New Roman" w:eastAsia="Times New Roman" w:hAnsi="Times New Roman" w:cs="Times New Roman"/>
          <w:sz w:val="30"/>
          <w:szCs w:val="30"/>
          <w:lang w:eastAsia="ru-RU"/>
        </w:rPr>
        <w:t xml:space="preserve"> Исследования охватывают период с 2007 по 2015 годы включительно. Кусты винограда размещены по схеме 3×2 м, сформированы на высоком штамбе по типу двуплечий горизонтальный спиралевидный кордон. Содержание почвы по типу черного пара.</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b/>
          <w:sz w:val="30"/>
          <w:szCs w:val="30"/>
          <w:lang w:eastAsia="ru-RU"/>
        </w:rPr>
        <w:t xml:space="preserve">Обсуждение результатов. </w:t>
      </w:r>
      <w:r w:rsidRPr="00D259D8">
        <w:rPr>
          <w:rFonts w:ascii="Times New Roman" w:eastAsia="Times New Roman" w:hAnsi="Times New Roman" w:cs="Times New Roman"/>
          <w:sz w:val="30"/>
          <w:szCs w:val="30"/>
          <w:lang w:eastAsia="ru-RU"/>
        </w:rPr>
        <w:t xml:space="preserve">Биологические особенности растений винограда, их избирательная и высокая требовательность к </w:t>
      </w:r>
      <w:r w:rsidRPr="00D259D8">
        <w:rPr>
          <w:rFonts w:ascii="Times New Roman" w:eastAsia="Times New Roman" w:hAnsi="Times New Roman" w:cs="Times New Roman"/>
          <w:sz w:val="30"/>
          <w:szCs w:val="30"/>
          <w:lang w:eastAsia="ru-RU"/>
        </w:rPr>
        <w:lastRenderedPageBreak/>
        <w:t xml:space="preserve">температурному режиму, и особенно минимальным температурам воздуха, ограничивают ареал его произрастания. Климатические условия обширной территории Российской Федерации позволяют возделывать виноград в промышленных объемах только на ограниченной части территории, составляющей 2,2 % в границах южных регионов страны: в Краснодарском и Ставропольском краях, Ростовской области, республиках Крым, Дагестан, Кабардино-Балкария, Чечня. В этих регионах преобладающим является умеренно континентальный климат с характерными нестабильными условиями среды обитания винограда, частыми </w:t>
      </w:r>
      <w:r w:rsidRPr="00D259D8">
        <w:rPr>
          <w:rFonts w:ascii="Times New Roman" w:eastAsia="Courier New" w:hAnsi="Times New Roman" w:cs="Times New Roman"/>
          <w:sz w:val="30"/>
          <w:szCs w:val="30"/>
          <w:lang w:eastAsia="ru-RU"/>
        </w:rPr>
        <w:t xml:space="preserve">аномальными проявлениями в форме низкотемпературных и водных стрессов. </w:t>
      </w:r>
      <w:r w:rsidRPr="00D259D8">
        <w:rPr>
          <w:rFonts w:ascii="Times New Roman" w:eastAsia="Times New Roman" w:hAnsi="Times New Roman" w:cs="Times New Roman"/>
          <w:sz w:val="30"/>
          <w:szCs w:val="30"/>
          <w:lang w:eastAsia="ru-RU"/>
        </w:rPr>
        <w:t>Вредоносное, аномальное проявление погоды в Краснодарском крае повторяется один раз в 5 лет.</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D259D8">
        <w:rPr>
          <w:rFonts w:ascii="Times New Roman" w:eastAsia="Times New Roman" w:hAnsi="Times New Roman" w:cs="Times New Roman"/>
          <w:bCs/>
          <w:sz w:val="30"/>
          <w:szCs w:val="30"/>
          <w:lang w:eastAsia="ru-RU"/>
        </w:rPr>
        <w:t xml:space="preserve">По многолетним данным метеостанции г.-к. Анапа среднегодовая температура воздуха в анапо-таманской подзоне черноморской зоны виноградарства за последние 40 лет составляла в среднем 12,6 °С, в период вегетации, с мая по сентябрь включительно, она равна 20,6 °С. Максимальная температура поднимается в летний период до 38 °С. В годы исследований (2007 – 2015 гг.) на участке изучения сортов среднегодовая температура воздуха была на один градус выше среднемноголетней нормы и составляла 13,6 °С, в период вегетации она соответствовала среднемноголетней норме – 20,6 °С. Максимальная температура в летний период варьировала в интервале 36 – 38 °С. Такая температура является благоприятной для ростовых процессов и плодоношения винограда </w:t>
      </w:r>
      <w:r w:rsidRPr="00D259D8">
        <w:rPr>
          <w:rFonts w:ascii="Times New Roman" w:eastAsia="Times New Roman" w:hAnsi="Times New Roman" w:cs="Times New Roman"/>
          <w:bCs/>
          <w:spacing w:val="-2"/>
          <w:sz w:val="30"/>
          <w:szCs w:val="30"/>
          <w:lang w:eastAsia="ru-RU"/>
        </w:rPr>
        <w:t>(рис. 1)</w:t>
      </w:r>
      <w:r w:rsidRPr="00D259D8">
        <w:rPr>
          <w:rFonts w:ascii="Times New Roman" w:eastAsia="Times New Roman" w:hAnsi="Times New Roman" w:cs="Times New Roman"/>
          <w:bCs/>
          <w:sz w:val="30"/>
          <w:szCs w:val="30"/>
          <w:lang w:eastAsia="ru-RU"/>
        </w:rPr>
        <w:t>.</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before="240" w:after="240" w:line="240" w:lineRule="auto"/>
        <w:jc w:val="center"/>
        <w:rPr>
          <w:rFonts w:ascii="Times New Roman" w:eastAsia="Times New Roman" w:hAnsi="Times New Roman" w:cs="Times New Roman"/>
          <w:sz w:val="30"/>
          <w:szCs w:val="30"/>
          <w:lang w:eastAsia="ru-RU"/>
        </w:rPr>
      </w:pPr>
      <w:r w:rsidRPr="00D259D8">
        <w:rPr>
          <w:rFonts w:ascii="Times New Roman" w:eastAsia="Times New Roman" w:hAnsi="Times New Roman" w:cs="Times New Roman"/>
          <w:noProof/>
          <w:sz w:val="20"/>
          <w:szCs w:val="20"/>
          <w:lang w:eastAsia="ru-RU"/>
        </w:rPr>
        <w:drawing>
          <wp:inline distT="0" distB="0" distL="0" distR="0">
            <wp:extent cx="4304030" cy="2400300"/>
            <wp:effectExtent l="0" t="0" r="127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Рис. 1. Температура воздуха (абсолютные значения и</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полиноминальная сглаженная линия тренда), г.-к. Анапа,</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среднее за 1977 – 2016 гг.</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30"/>
          <w:szCs w:val="30"/>
          <w:lang w:eastAsia="ru-RU"/>
        </w:rPr>
      </w:pPr>
      <w:r w:rsidRPr="00D259D8">
        <w:rPr>
          <w:rFonts w:ascii="Times New Roman" w:eastAsia="Times New Roman" w:hAnsi="Times New Roman" w:cs="Times New Roman"/>
          <w:bCs/>
          <w:sz w:val="30"/>
          <w:szCs w:val="30"/>
          <w:lang w:eastAsia="ru-RU"/>
        </w:rPr>
        <w:t xml:space="preserve">Стрессовыми в анапо-таманской подзоне являются минимальные температуры воздуха в период зимовки насаждений и дефицит атмосферных осадков во время активной вегетации винограда. </w:t>
      </w:r>
      <w:r w:rsidRPr="00D259D8">
        <w:rPr>
          <w:rFonts w:ascii="Times New Roman" w:eastAsia="Times New Roman" w:hAnsi="Times New Roman" w:cs="Times New Roman"/>
          <w:bCs/>
          <w:sz w:val="30"/>
          <w:szCs w:val="30"/>
          <w:lang w:eastAsia="ru-RU"/>
        </w:rPr>
        <w:lastRenderedPageBreak/>
        <w:t>Минимальная температура в отдельные годы может снижаться до -24 °С. У</w:t>
      </w:r>
      <w:r w:rsidRPr="00D259D8">
        <w:rPr>
          <w:rFonts w:ascii="Times New Roman" w:eastAsia="Times New Roman" w:hAnsi="Times New Roman" w:cs="Times New Roman"/>
          <w:bCs/>
          <w:spacing w:val="-2"/>
          <w:sz w:val="30"/>
          <w:szCs w:val="30"/>
          <w:lang w:eastAsia="ru-RU"/>
        </w:rPr>
        <w:t xml:space="preserve">величилась повторяемость стрессовых отрицательных температур воздуха в зимний период. Если с 1977 по 1992 годы минимальная температура не опускалась ниже -18 </w:t>
      </w:r>
      <w:r w:rsidRPr="00D259D8">
        <w:rPr>
          <w:rFonts w:ascii="Times New Roman" w:eastAsia="Times New Roman" w:hAnsi="Times New Roman" w:cs="Times New Roman"/>
          <w:bCs/>
          <w:spacing w:val="-2"/>
          <w:sz w:val="30"/>
          <w:szCs w:val="30"/>
          <w:lang w:eastAsia="ru-RU"/>
        </w:rPr>
        <w:sym w:font="Symbol" w:char="F0B0"/>
      </w:r>
      <w:r w:rsidRPr="00D259D8">
        <w:rPr>
          <w:rFonts w:ascii="Times New Roman" w:eastAsia="Times New Roman" w:hAnsi="Times New Roman" w:cs="Times New Roman"/>
          <w:bCs/>
          <w:spacing w:val="-2"/>
          <w:sz w:val="30"/>
          <w:szCs w:val="30"/>
          <w:lang w:eastAsia="ru-RU"/>
        </w:rPr>
        <w:t xml:space="preserve">С, то с 1993 по 2016 годы температура -18 </w:t>
      </w:r>
      <w:r w:rsidRPr="00D259D8">
        <w:rPr>
          <w:rFonts w:ascii="Times New Roman" w:eastAsia="Times New Roman" w:hAnsi="Times New Roman" w:cs="Times New Roman"/>
          <w:bCs/>
          <w:spacing w:val="-2"/>
          <w:sz w:val="30"/>
          <w:szCs w:val="30"/>
          <w:lang w:eastAsia="ru-RU"/>
        </w:rPr>
        <w:sym w:font="Symbol" w:char="F0B0"/>
      </w:r>
      <w:r w:rsidRPr="00D259D8">
        <w:rPr>
          <w:rFonts w:ascii="Times New Roman" w:eastAsia="Times New Roman" w:hAnsi="Times New Roman" w:cs="Times New Roman"/>
          <w:bCs/>
          <w:spacing w:val="-2"/>
          <w:sz w:val="30"/>
          <w:szCs w:val="30"/>
          <w:lang w:eastAsia="ru-RU"/>
        </w:rPr>
        <w:t xml:space="preserve">С и ниже повторялась шесть раз. В годы исследований абсолютный минимум равен -20 </w:t>
      </w:r>
      <w:r w:rsidRPr="00D259D8">
        <w:rPr>
          <w:rFonts w:ascii="Times New Roman" w:eastAsia="Times New Roman" w:hAnsi="Times New Roman" w:cs="Times New Roman"/>
          <w:bCs/>
          <w:spacing w:val="-2"/>
          <w:sz w:val="30"/>
          <w:szCs w:val="30"/>
          <w:lang w:eastAsia="ru-RU"/>
        </w:rPr>
        <w:sym w:font="Symbol" w:char="F0B0"/>
      </w:r>
      <w:r w:rsidRPr="00D259D8">
        <w:rPr>
          <w:rFonts w:ascii="Times New Roman" w:eastAsia="Times New Roman" w:hAnsi="Times New Roman" w:cs="Times New Roman"/>
          <w:bCs/>
          <w:spacing w:val="-2"/>
          <w:sz w:val="30"/>
          <w:szCs w:val="30"/>
          <w:lang w:eastAsia="ru-RU"/>
        </w:rPr>
        <w:t>С (рис. 2).</w:t>
      </w:r>
    </w:p>
    <w:p w:rsidR="00D259D8" w:rsidRPr="00D259D8" w:rsidRDefault="00D259D8" w:rsidP="00D259D8">
      <w:pPr>
        <w:widowControl w:val="0"/>
        <w:autoSpaceDE w:val="0"/>
        <w:autoSpaceDN w:val="0"/>
        <w:adjustRightInd w:val="0"/>
        <w:spacing w:before="240" w:after="240" w:line="240" w:lineRule="auto"/>
        <w:jc w:val="center"/>
        <w:rPr>
          <w:rFonts w:ascii="Times New Roman" w:eastAsia="Times New Roman" w:hAnsi="Times New Roman" w:cs="Times New Roman"/>
          <w:sz w:val="30"/>
          <w:szCs w:val="30"/>
          <w:lang w:eastAsia="ru-RU"/>
        </w:rPr>
      </w:pPr>
      <w:r w:rsidRPr="00D259D8">
        <w:rPr>
          <w:rFonts w:ascii="Times New Roman" w:eastAsia="Times New Roman" w:hAnsi="Times New Roman" w:cs="Times New Roman"/>
          <w:noProof/>
          <w:sz w:val="20"/>
          <w:szCs w:val="20"/>
          <w:lang w:eastAsia="ru-RU"/>
        </w:rPr>
        <w:drawing>
          <wp:inline distT="0" distB="0" distL="0" distR="0">
            <wp:extent cx="5046345" cy="2541270"/>
            <wp:effectExtent l="0" t="0" r="1905" b="1143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Рис.2. Минимальная температура воздуха (абсолютные значения</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и полиноминальная сглаженная линия тренда), г.-к. Анапа</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 xml:space="preserve">Период активного роста ягод винограда, с июля по сентябрь, характеризуется устойчивым дефицитом атмосферных осадков. За эти три месяца сумма осадков в среднем за последние сорок лет составляла 121 мм, в годы исследований их было в 1,6 раза меньше – 76 мм. В многолетней динамике отмечается устойчивая тенденция уменьшения влагообеспеченности насаждений винограда </w:t>
      </w:r>
      <w:r w:rsidRPr="00D259D8">
        <w:rPr>
          <w:rFonts w:ascii="Times New Roman" w:eastAsia="Times New Roman" w:hAnsi="Times New Roman" w:cs="Times New Roman"/>
          <w:bCs/>
          <w:spacing w:val="-2"/>
          <w:sz w:val="30"/>
          <w:szCs w:val="30"/>
          <w:lang w:eastAsia="ru-RU"/>
        </w:rPr>
        <w:t>(рис. 3)</w:t>
      </w:r>
      <w:r w:rsidRPr="00D259D8">
        <w:rPr>
          <w:rFonts w:ascii="Times New Roman" w:eastAsia="Times New Roman" w:hAnsi="Times New Roman" w:cs="Times New Roman"/>
          <w:sz w:val="30"/>
          <w:szCs w:val="30"/>
          <w:lang w:eastAsia="ru-RU"/>
        </w:rPr>
        <w:t>.</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after="0" w:line="240" w:lineRule="auto"/>
        <w:ind w:firstLine="709"/>
        <w:jc w:val="both"/>
        <w:rPr>
          <w:rFonts w:ascii="Times New Roman" w:eastAsia="Times New Roman" w:hAnsi="Times New Roman" w:cs="Times New Roman"/>
          <w:color w:val="000000"/>
          <w:sz w:val="30"/>
          <w:szCs w:val="30"/>
          <w:lang w:eastAsia="ru-RU"/>
        </w:rPr>
      </w:pPr>
      <w:r w:rsidRPr="00D259D8">
        <w:rPr>
          <w:rFonts w:ascii="Times New Roman" w:eastAsia="Times New Roman" w:hAnsi="Times New Roman" w:cs="Times New Roman"/>
          <w:color w:val="000000"/>
          <w:sz w:val="30"/>
          <w:szCs w:val="30"/>
          <w:lang w:eastAsia="ru-RU"/>
        </w:rPr>
        <w:t>Возделывание винограда в жестких условиях умеренно-континентального климата юга России, в отличие от западноевропейских мягких погодных условий, сопровождается усложнением технологий возделывания винограда, увеличением финансовых издержек на получение единицы продукции, ростом энерго-ресурсозатрат в технологическом процессе, сокращением нормативного срока эксплуатации насаждений. Эти обстоятельства являются объективной реальностью, снижающих конкурентоспособность отечественного виноградарства.</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after="240" w:line="240" w:lineRule="auto"/>
        <w:ind w:firstLine="709"/>
        <w:jc w:val="both"/>
        <w:rPr>
          <w:rFonts w:ascii="Times New Roman" w:eastAsia="Times New Roman" w:hAnsi="Times New Roman" w:cs="Times New Roman"/>
          <w:color w:val="000000"/>
          <w:sz w:val="28"/>
          <w:szCs w:val="28"/>
          <w:lang w:eastAsia="ru-RU"/>
        </w:rPr>
      </w:pPr>
      <w:r w:rsidRPr="00D259D8">
        <w:rPr>
          <w:rFonts w:ascii="Times New Roman" w:eastAsia="Times New Roman" w:hAnsi="Times New Roman" w:cs="Times New Roman"/>
          <w:color w:val="000000"/>
          <w:sz w:val="30"/>
          <w:szCs w:val="30"/>
          <w:lang w:eastAsia="ru-RU"/>
        </w:rPr>
        <w:t xml:space="preserve">В </w:t>
      </w:r>
      <w:r w:rsidRPr="00D259D8">
        <w:rPr>
          <w:rFonts w:ascii="Times New Roman" w:eastAsia="Times New Roman" w:hAnsi="Times New Roman" w:cs="Times New Roman"/>
          <w:sz w:val="30"/>
          <w:szCs w:val="30"/>
          <w:lang w:eastAsia="ru-RU"/>
        </w:rPr>
        <w:t xml:space="preserve">нестабильных погодных условиях умеренно континентального климата юга России важным условием </w:t>
      </w:r>
      <w:r w:rsidRPr="00D259D8">
        <w:rPr>
          <w:rFonts w:ascii="Times New Roman" w:eastAsia="Times New Roman" w:hAnsi="Times New Roman" w:cs="Times New Roman"/>
          <w:color w:val="000000"/>
          <w:sz w:val="30"/>
          <w:szCs w:val="30"/>
          <w:lang w:eastAsia="ru-RU"/>
        </w:rPr>
        <w:t xml:space="preserve">получения устойчивого конкурентоспособного урожая винограда </w:t>
      </w:r>
      <w:r w:rsidRPr="00D259D8">
        <w:rPr>
          <w:rFonts w:ascii="Times New Roman" w:eastAsia="Times New Roman" w:hAnsi="Times New Roman" w:cs="Times New Roman"/>
          <w:sz w:val="30"/>
          <w:szCs w:val="30"/>
          <w:lang w:eastAsia="ru-RU"/>
        </w:rPr>
        <w:t>является подбор и использование сортов, высоко адаптированных к экологическим условиям среды произрастания винограда.</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after="0" w:line="240" w:lineRule="auto"/>
        <w:jc w:val="center"/>
        <w:rPr>
          <w:rFonts w:ascii="Times New Roman" w:eastAsia="Times New Roman" w:hAnsi="Times New Roman" w:cs="Times New Roman"/>
          <w:color w:val="000000"/>
          <w:sz w:val="30"/>
          <w:szCs w:val="30"/>
          <w:lang w:eastAsia="ru-RU"/>
        </w:rPr>
      </w:pPr>
      <w:r w:rsidRPr="00D259D8">
        <w:rPr>
          <w:rFonts w:ascii="Times New Roman" w:eastAsia="Times New Roman" w:hAnsi="Times New Roman" w:cs="Times New Roman"/>
          <w:noProof/>
          <w:sz w:val="20"/>
          <w:szCs w:val="20"/>
          <w:lang w:eastAsia="ru-RU"/>
        </w:rPr>
        <w:lastRenderedPageBreak/>
        <w:drawing>
          <wp:inline distT="0" distB="0" distL="0" distR="0">
            <wp:extent cx="5062220" cy="2740025"/>
            <wp:effectExtent l="0" t="0" r="5080" b="31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9D8" w:rsidRPr="00D259D8" w:rsidRDefault="00D259D8" w:rsidP="00D259D8">
      <w:pPr>
        <w:widowControl w:val="0"/>
        <w:autoSpaceDE w:val="0"/>
        <w:autoSpaceDN w:val="0"/>
        <w:adjustRightInd w:val="0"/>
        <w:spacing w:before="240"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Рис. 3. Атмосферные осадки (абсолютные значения и</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59D8">
        <w:rPr>
          <w:rFonts w:ascii="Times New Roman" w:eastAsia="Times New Roman" w:hAnsi="Times New Roman" w:cs="Times New Roman"/>
          <w:b/>
          <w:sz w:val="24"/>
          <w:szCs w:val="28"/>
          <w:lang w:eastAsia="ru-RU"/>
        </w:rPr>
        <w:t>полиноминальная сглаженная линия тренда), г.-к. Анапа</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Изучение агробиологических свойств сортов разных групп по эколого-географическому происхождению показывает неодинаковую реакцию генотипов на условия среды его произрастания в анапо-таманской подзоне черноморской зоны виноградарства.</w:t>
      </w:r>
    </w:p>
    <w:p w:rsidR="00D259D8" w:rsidRPr="00D259D8" w:rsidRDefault="00D259D8" w:rsidP="00D259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Таблица 1 </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9D8">
        <w:rPr>
          <w:rFonts w:ascii="Times New Roman" w:eastAsia="Times New Roman" w:hAnsi="Times New Roman" w:cs="Times New Roman"/>
          <w:b/>
          <w:sz w:val="24"/>
          <w:szCs w:val="24"/>
          <w:lang w:eastAsia="ru-RU"/>
        </w:rPr>
        <w:t xml:space="preserve">Реакция технических сортов винограда разных групп </w:t>
      </w:r>
    </w:p>
    <w:p w:rsidR="00D259D8" w:rsidRPr="00D259D8" w:rsidRDefault="00D259D8" w:rsidP="00D259D8">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D259D8">
        <w:rPr>
          <w:rFonts w:ascii="Times New Roman" w:eastAsia="Times New Roman" w:hAnsi="Times New Roman" w:cs="Times New Roman"/>
          <w:b/>
          <w:sz w:val="24"/>
          <w:szCs w:val="24"/>
          <w:lang w:eastAsia="ru-RU"/>
        </w:rPr>
        <w:t>по эколого-географическому происхождению в нестабильных погодных условиях умеренно континентального климата юга России, г.-к. Анапа, 2007 – 2015 гг.</w:t>
      </w:r>
    </w:p>
    <w:tbl>
      <w:tblPr>
        <w:tblW w:w="9156" w:type="dxa"/>
        <w:tblLayout w:type="fixed"/>
        <w:tblLook w:val="04A0" w:firstRow="1" w:lastRow="0" w:firstColumn="1" w:lastColumn="0" w:noHBand="0" w:noVBand="1"/>
      </w:tblPr>
      <w:tblGrid>
        <w:gridCol w:w="1838"/>
        <w:gridCol w:w="813"/>
        <w:gridCol w:w="813"/>
        <w:gridCol w:w="813"/>
        <w:gridCol w:w="813"/>
        <w:gridCol w:w="813"/>
        <w:gridCol w:w="813"/>
        <w:gridCol w:w="813"/>
        <w:gridCol w:w="813"/>
        <w:gridCol w:w="814"/>
      </w:tblGrid>
      <w:tr w:rsidR="00D259D8" w:rsidRPr="00D259D8" w:rsidTr="00D539E6">
        <w:trPr>
          <w:cantSplit/>
          <w:trHeight w:val="2709"/>
        </w:trPr>
        <w:tc>
          <w:tcPr>
            <w:tcW w:w="18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Наименование групп сортов по происхождению</w:t>
            </w:r>
          </w:p>
        </w:tc>
        <w:tc>
          <w:tcPr>
            <w:tcW w:w="813" w:type="dxa"/>
            <w:tcBorders>
              <w:top w:val="single" w:sz="4" w:space="0" w:color="auto"/>
              <w:left w:val="nil"/>
              <w:bottom w:val="single" w:sz="4" w:space="0" w:color="auto"/>
              <w:right w:val="nil"/>
            </w:tcBorders>
            <w:textDirection w:val="btLr"/>
            <w:vAlign w:val="center"/>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Распускание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глазков,</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w:t>
            </w:r>
          </w:p>
        </w:tc>
        <w:tc>
          <w:tcPr>
            <w:tcW w:w="81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Коэффициент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плодоношения,</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w:t>
            </w:r>
            <w:r w:rsidRPr="00D259D8">
              <w:rPr>
                <w:rFonts w:ascii="Times New Roman" w:eastAsia="Times New Roman" w:hAnsi="Times New Roman" w:cs="Times New Roman"/>
                <w:sz w:val="24"/>
                <w:szCs w:val="24"/>
                <w:vertAlign w:val="subscript"/>
                <w:lang w:eastAsia="ru-RU"/>
              </w:rPr>
              <w:t>1</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Коэффициент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плодоносности,</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w:t>
            </w:r>
            <w:r w:rsidRPr="00D259D8">
              <w:rPr>
                <w:rFonts w:ascii="Times New Roman" w:eastAsia="Times New Roman" w:hAnsi="Times New Roman" w:cs="Times New Roman"/>
                <w:sz w:val="24"/>
                <w:szCs w:val="24"/>
                <w:vertAlign w:val="subscript"/>
                <w:lang w:eastAsia="ru-RU"/>
              </w:rPr>
              <w:t>2</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Средняя масса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грозди, г</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Продуктивность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побега, г</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Урожайность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куста, кг</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Сахаристость,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г/100 см</w:t>
            </w:r>
            <w:r w:rsidRPr="00D259D8">
              <w:rPr>
                <w:rFonts w:ascii="Times New Roman" w:eastAsia="Times New Roman" w:hAnsi="Times New Roman" w:cs="Times New Roman"/>
                <w:sz w:val="24"/>
                <w:szCs w:val="24"/>
                <w:vertAlign w:val="superscript"/>
                <w:lang w:eastAsia="ru-RU"/>
              </w:rPr>
              <w:t>3</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Кислотность, г/дм</w:t>
            </w:r>
            <w:r w:rsidRPr="00D259D8">
              <w:rPr>
                <w:rFonts w:ascii="Times New Roman" w:eastAsia="Times New Roman" w:hAnsi="Times New Roman" w:cs="Times New Roman"/>
                <w:sz w:val="24"/>
                <w:szCs w:val="24"/>
                <w:vertAlign w:val="superscript"/>
                <w:lang w:eastAsia="ru-RU"/>
              </w:rPr>
              <w:t>3</w:t>
            </w:r>
          </w:p>
        </w:tc>
        <w:tc>
          <w:tcPr>
            <w:tcW w:w="814"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Глюкоацидометрический </w:t>
            </w:r>
          </w:p>
          <w:p w:rsidR="00D259D8" w:rsidRPr="00D259D8" w:rsidRDefault="00D259D8" w:rsidP="00D259D8">
            <w:pPr>
              <w:widowControl w:val="0"/>
              <w:autoSpaceDE w:val="0"/>
              <w:autoSpaceDN w:val="0"/>
              <w:adjustRightInd w:val="0"/>
              <w:spacing w:after="0" w:line="240" w:lineRule="auto"/>
              <w:ind w:left="-113" w:right="-113"/>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показатель</w:t>
            </w:r>
          </w:p>
        </w:tc>
      </w:tr>
      <w:tr w:rsidR="00D259D8" w:rsidRPr="00D259D8" w:rsidTr="00D539E6">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Западно-</w:t>
            </w:r>
          </w:p>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европейские</w:t>
            </w:r>
          </w:p>
        </w:tc>
        <w:tc>
          <w:tcPr>
            <w:tcW w:w="813"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82,01</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1,20</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1,50</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153,07</w:t>
            </w:r>
          </w:p>
        </w:tc>
        <w:tc>
          <w:tcPr>
            <w:tcW w:w="813"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127,55</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6,52</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20,36</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7,16</w:t>
            </w:r>
          </w:p>
        </w:tc>
        <w:tc>
          <w:tcPr>
            <w:tcW w:w="814"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bCs/>
                <w:sz w:val="24"/>
                <w:szCs w:val="24"/>
                <w:lang w:eastAsia="ru-RU"/>
              </w:rPr>
            </w:pPr>
            <w:r w:rsidRPr="00D259D8">
              <w:rPr>
                <w:rFonts w:ascii="Times New Roman" w:eastAsia="Times New Roman" w:hAnsi="Times New Roman" w:cs="Times New Roman"/>
                <w:bCs/>
                <w:sz w:val="24"/>
                <w:szCs w:val="24"/>
                <w:lang w:eastAsia="ru-RU"/>
              </w:rPr>
              <w:t>2,84</w:t>
            </w:r>
          </w:p>
        </w:tc>
      </w:tr>
      <w:tr w:rsidR="00D259D8" w:rsidRPr="00D259D8" w:rsidTr="00D539E6">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Восточные</w:t>
            </w:r>
          </w:p>
        </w:tc>
        <w:tc>
          <w:tcPr>
            <w:tcW w:w="813"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78,03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1,00</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1,50</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288,42</w:t>
            </w:r>
          </w:p>
        </w:tc>
        <w:tc>
          <w:tcPr>
            <w:tcW w:w="813"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288,42</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6,09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19,04</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6,80</w:t>
            </w:r>
          </w:p>
        </w:tc>
        <w:tc>
          <w:tcPr>
            <w:tcW w:w="814"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bCs/>
                <w:sz w:val="24"/>
                <w:szCs w:val="24"/>
                <w:lang w:eastAsia="ru-RU"/>
              </w:rPr>
            </w:pPr>
            <w:r w:rsidRPr="00D259D8">
              <w:rPr>
                <w:rFonts w:ascii="Times New Roman" w:eastAsia="Times New Roman" w:hAnsi="Times New Roman" w:cs="Times New Roman"/>
                <w:bCs/>
                <w:sz w:val="24"/>
                <w:szCs w:val="24"/>
                <w:lang w:eastAsia="ru-RU"/>
              </w:rPr>
              <w:t>2,80</w:t>
            </w:r>
          </w:p>
        </w:tc>
      </w:tr>
      <w:tr w:rsidR="00D259D8" w:rsidRPr="00D259D8" w:rsidTr="00D539E6">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Побережья</w:t>
            </w:r>
          </w:p>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Черного моря</w:t>
            </w:r>
          </w:p>
        </w:tc>
        <w:tc>
          <w:tcPr>
            <w:tcW w:w="813"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83,54</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1,06</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1,39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210,40</w:t>
            </w:r>
          </w:p>
        </w:tc>
        <w:tc>
          <w:tcPr>
            <w:tcW w:w="813"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198,49</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8,57</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20,09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7,15</w:t>
            </w:r>
          </w:p>
        </w:tc>
        <w:tc>
          <w:tcPr>
            <w:tcW w:w="814"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bCs/>
                <w:sz w:val="24"/>
                <w:szCs w:val="24"/>
                <w:lang w:eastAsia="ru-RU"/>
              </w:rPr>
            </w:pPr>
            <w:r w:rsidRPr="00D259D8">
              <w:rPr>
                <w:rFonts w:ascii="Times New Roman" w:eastAsia="Times New Roman" w:hAnsi="Times New Roman" w:cs="Times New Roman"/>
                <w:bCs/>
                <w:sz w:val="24"/>
                <w:szCs w:val="24"/>
                <w:lang w:eastAsia="ru-RU"/>
              </w:rPr>
              <w:t>2,80</w:t>
            </w:r>
          </w:p>
        </w:tc>
      </w:tr>
      <w:tr w:rsidR="00D259D8" w:rsidRPr="00D259D8" w:rsidTr="00D539E6">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Межвидовые</w:t>
            </w:r>
          </w:p>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гибриды</w:t>
            </w:r>
          </w:p>
        </w:tc>
        <w:tc>
          <w:tcPr>
            <w:tcW w:w="813"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81,30</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1,10</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1,39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177,84</w:t>
            </w:r>
          </w:p>
        </w:tc>
        <w:tc>
          <w:tcPr>
            <w:tcW w:w="813"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161,77</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10,68</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19,94</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7,46</w:t>
            </w:r>
          </w:p>
        </w:tc>
        <w:tc>
          <w:tcPr>
            <w:tcW w:w="814"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bCs/>
                <w:sz w:val="24"/>
                <w:szCs w:val="24"/>
                <w:lang w:eastAsia="ru-RU"/>
              </w:rPr>
            </w:pPr>
            <w:r w:rsidRPr="00D259D8">
              <w:rPr>
                <w:rFonts w:ascii="Times New Roman" w:eastAsia="Times New Roman" w:hAnsi="Times New Roman" w:cs="Times New Roman"/>
                <w:bCs/>
                <w:sz w:val="24"/>
                <w:szCs w:val="24"/>
                <w:lang w:eastAsia="ru-RU"/>
              </w:rPr>
              <w:t>2,67</w:t>
            </w:r>
          </w:p>
        </w:tc>
      </w:tr>
      <w:tr w:rsidR="00D259D8" w:rsidRPr="00D259D8" w:rsidTr="00D539E6">
        <w:trPr>
          <w:trHeight w:val="552"/>
        </w:trPr>
        <w:tc>
          <w:tcPr>
            <w:tcW w:w="1838" w:type="dxa"/>
            <w:tcBorders>
              <w:top w:val="nil"/>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Внутривидовые гибриды</w:t>
            </w:r>
          </w:p>
        </w:tc>
        <w:tc>
          <w:tcPr>
            <w:tcW w:w="813"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81,90</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1,19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1,47</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227,33</w:t>
            </w:r>
          </w:p>
        </w:tc>
        <w:tc>
          <w:tcPr>
            <w:tcW w:w="813"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191,03</w:t>
            </w:r>
          </w:p>
        </w:tc>
        <w:tc>
          <w:tcPr>
            <w:tcW w:w="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8,83</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19,27</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ind w:left="-57" w:right="-57"/>
              <w:jc w:val="center"/>
              <w:rPr>
                <w:rFonts w:ascii="Times New Roman" w:eastAsia="Times New Roman" w:hAnsi="Times New Roman" w:cs="Times New Roman"/>
                <w:bCs/>
                <w:color w:val="000000"/>
                <w:sz w:val="24"/>
                <w:szCs w:val="24"/>
                <w:lang w:eastAsia="ru-RU"/>
              </w:rPr>
            </w:pPr>
            <w:r w:rsidRPr="00D259D8">
              <w:rPr>
                <w:rFonts w:ascii="Times New Roman" w:eastAsia="Times New Roman" w:hAnsi="Times New Roman" w:cs="Times New Roman"/>
                <w:bCs/>
                <w:color w:val="000000"/>
                <w:sz w:val="24"/>
                <w:szCs w:val="24"/>
                <w:lang w:eastAsia="ru-RU"/>
              </w:rPr>
              <w:t>8,01</w:t>
            </w:r>
          </w:p>
        </w:tc>
        <w:tc>
          <w:tcPr>
            <w:tcW w:w="814"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ind w:left="-57" w:right="-57"/>
              <w:jc w:val="center"/>
              <w:rPr>
                <w:rFonts w:ascii="Times New Roman" w:eastAsia="Times New Roman" w:hAnsi="Times New Roman" w:cs="Times New Roman"/>
                <w:bCs/>
                <w:sz w:val="24"/>
                <w:szCs w:val="24"/>
                <w:lang w:eastAsia="ru-RU"/>
              </w:rPr>
            </w:pPr>
            <w:r w:rsidRPr="00D259D8">
              <w:rPr>
                <w:rFonts w:ascii="Times New Roman" w:eastAsia="Times New Roman" w:hAnsi="Times New Roman" w:cs="Times New Roman"/>
                <w:bCs/>
                <w:sz w:val="24"/>
                <w:szCs w:val="24"/>
                <w:lang w:eastAsia="ru-RU"/>
              </w:rPr>
              <w:t>2,40</w:t>
            </w:r>
          </w:p>
        </w:tc>
      </w:tr>
    </w:tbl>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before="240" w:after="0" w:line="240" w:lineRule="auto"/>
        <w:ind w:firstLine="709"/>
        <w:jc w:val="both"/>
        <w:rPr>
          <w:rFonts w:ascii="Times New Roman" w:eastAsia="Times New Roman" w:hAnsi="Times New Roman" w:cs="Times New Roman"/>
          <w:bCs/>
          <w:spacing w:val="-2"/>
          <w:sz w:val="30"/>
          <w:szCs w:val="30"/>
          <w:lang w:eastAsia="ru-RU"/>
        </w:rPr>
      </w:pPr>
      <w:r w:rsidRPr="00D259D8">
        <w:rPr>
          <w:rFonts w:ascii="Times New Roman" w:eastAsia="Times New Roman" w:hAnsi="Times New Roman" w:cs="Times New Roman"/>
          <w:sz w:val="30"/>
          <w:szCs w:val="30"/>
          <w:lang w:eastAsia="ru-RU"/>
        </w:rPr>
        <w:t xml:space="preserve">По данным таблицы 1 показатели по распусканию глазков на побегах винограда после зимовки (косвенный показатель адаптивности </w:t>
      </w:r>
      <w:r w:rsidRPr="00D259D8">
        <w:rPr>
          <w:rFonts w:ascii="Times New Roman" w:eastAsia="Times New Roman" w:hAnsi="Times New Roman" w:cs="Times New Roman"/>
          <w:sz w:val="30"/>
          <w:szCs w:val="30"/>
          <w:lang w:eastAsia="ru-RU"/>
        </w:rPr>
        <w:lastRenderedPageBreak/>
        <w:t xml:space="preserve">винограда к минимальным температурам воздуха) по всем группам технических сортов были близкими. На фоне узкого варьирования признака наибольшая доля распустившихся глазков наблюдалась у сортов черноморской группы, в среднем 83,5 %. Наименьшая доля распустившихся глазков после зимовки была у сортов восточной группы. Разница между максимальными и минимальными показателями не превышала 5,5 %. Отсутствие больших различий объясняется благоприятными условиями зимовки винограда в период исследований. За всё время наблюдений за распусканием глазков, с 2007 по 2016 годы, минимальная температура на участке ампелоколлекции не опускалась ниже минус 20 </w:t>
      </w:r>
      <w:r w:rsidRPr="00D259D8">
        <w:rPr>
          <w:rFonts w:ascii="Times New Roman" w:eastAsia="Times New Roman" w:hAnsi="Times New Roman" w:cs="Times New Roman"/>
          <w:bCs/>
          <w:spacing w:val="-2"/>
          <w:sz w:val="30"/>
          <w:szCs w:val="30"/>
          <w:lang w:eastAsia="ru-RU"/>
        </w:rPr>
        <w:sym w:font="Symbol" w:char="F0B0"/>
      </w:r>
      <w:r w:rsidRPr="00D259D8">
        <w:rPr>
          <w:rFonts w:ascii="Times New Roman" w:eastAsia="Times New Roman" w:hAnsi="Times New Roman" w:cs="Times New Roman"/>
          <w:bCs/>
          <w:spacing w:val="-2"/>
          <w:sz w:val="30"/>
          <w:szCs w:val="30"/>
          <w:lang w:eastAsia="ru-RU"/>
        </w:rPr>
        <w:t xml:space="preserve">С. В среднем за этот период она составила </w:t>
      </w:r>
      <w:r w:rsidRPr="00D259D8">
        <w:rPr>
          <w:rFonts w:ascii="Times New Roman" w:eastAsia="Times New Roman" w:hAnsi="Times New Roman" w:cs="Times New Roman"/>
          <w:sz w:val="30"/>
          <w:szCs w:val="30"/>
          <w:lang w:eastAsia="ru-RU"/>
        </w:rPr>
        <w:t xml:space="preserve">-14,5 </w:t>
      </w:r>
      <w:r w:rsidRPr="00D259D8">
        <w:rPr>
          <w:rFonts w:ascii="Times New Roman" w:eastAsia="Times New Roman" w:hAnsi="Times New Roman" w:cs="Times New Roman"/>
          <w:bCs/>
          <w:spacing w:val="-2"/>
          <w:sz w:val="30"/>
          <w:szCs w:val="30"/>
          <w:lang w:eastAsia="ru-RU"/>
        </w:rPr>
        <w:sym w:font="Symbol" w:char="F0B0"/>
      </w:r>
      <w:r w:rsidRPr="00D259D8">
        <w:rPr>
          <w:rFonts w:ascii="Times New Roman" w:eastAsia="Times New Roman" w:hAnsi="Times New Roman" w:cs="Times New Roman"/>
          <w:bCs/>
          <w:spacing w:val="-2"/>
          <w:sz w:val="30"/>
          <w:szCs w:val="30"/>
          <w:lang w:eastAsia="ru-RU"/>
        </w:rPr>
        <w:t>С. Такая температура не критическая для зимовки и формирования урожая ягод винограда.</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Показатели плодоношения у сортов разных групп по происхождению различались более существенно. В условиях мягкой зимовки разница между группами сортов по показателям плодоношения большей частью определялась их биологическими особенностями. Наибольший коэффициент плодоношения и плодоносности были у сортов западно-европейской и восточной групп. В среднем за время исследований они составляли соответственно 1,20 и 1,50. Наименьшие показатели были у сортов восточной группы, побережья Черного моря и межвидовых гибридов. Разница между наибольшими и наименьшими показателями по коэффициенту плодоношения составляла 17 %, плодоносности – 7 %. Остальные сорта винограда занимали промежуточное положение.</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По наибольшей массе гроздей выделяются сорта восточной группы. Далее в убывающем порядке следуют сорта внутривидовых гибридов, побережья Черного моря, межвидовые гибриды. Наименьшая масса гроздей была у сортов западно-европейской группы. Разница между максимальной и минимальной массой гроздей достигало в среднем 53 %. Наибольшей урожайностью винограда выделялись сорта межвидовых гибридов. В среднем за время изучения она составила 10,68 кг/куст. У сортов внутривидовых гибридов она была меньше на 17 %, побережья Черного моря – 20 %, западно-европейских – 39 % и восточной группы на 43 %.</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По качественным показателям сока ягод винограда выделялись сорта западно-европейской группы и черноморского побережья. У этих сортов сахаристость и глюкоацидометрический показатели были наибольшими. Близкими к ним были сорта побережья Черного моря.</w:t>
      </w:r>
    </w:p>
    <w:p w:rsidR="00D259D8" w:rsidRPr="00D259D8" w:rsidRDefault="00D259D8" w:rsidP="00D259D8">
      <w:pPr>
        <w:widowControl w:val="0"/>
        <w:tabs>
          <w:tab w:val="left" w:pos="3544"/>
          <w:tab w:val="left" w:pos="4253"/>
          <w:tab w:val="left" w:pos="4820"/>
          <w:tab w:val="left" w:pos="4962"/>
          <w:tab w:val="left" w:pos="5529"/>
        </w:tabs>
        <w:autoSpaceDE w:val="0"/>
        <w:autoSpaceDN w:val="0"/>
        <w:adjustRightInd w:val="0"/>
        <w:spacing w:after="0" w:line="240" w:lineRule="auto"/>
        <w:ind w:firstLine="709"/>
        <w:jc w:val="both"/>
        <w:rPr>
          <w:rFonts w:ascii="Times New Roman" w:eastAsia="Times New Roman" w:hAnsi="Times New Roman" w:cs="Times New Roman"/>
          <w:bCs/>
          <w:spacing w:val="-2"/>
          <w:sz w:val="30"/>
          <w:szCs w:val="30"/>
          <w:lang w:eastAsia="ru-RU"/>
        </w:rPr>
      </w:pPr>
      <w:r w:rsidRPr="00D259D8">
        <w:rPr>
          <w:rFonts w:ascii="Times New Roman" w:eastAsia="Times New Roman" w:hAnsi="Times New Roman" w:cs="Times New Roman"/>
          <w:sz w:val="30"/>
          <w:szCs w:val="30"/>
          <w:lang w:eastAsia="ru-RU"/>
        </w:rPr>
        <w:t xml:space="preserve">У столовых сортов распускание глазков также, как и у технических было без существенных отклонений друг от друга. Наибольшим количеством сохранившихся глазков после зимовки выделялись сорта </w:t>
      </w:r>
      <w:r w:rsidRPr="00D259D8">
        <w:rPr>
          <w:rFonts w:ascii="Times New Roman" w:eastAsia="Times New Roman" w:hAnsi="Times New Roman" w:cs="Times New Roman"/>
          <w:sz w:val="30"/>
          <w:szCs w:val="30"/>
          <w:lang w:eastAsia="ru-RU"/>
        </w:rPr>
        <w:lastRenderedPageBreak/>
        <w:t>побережья Черного моря, 85,2 %. Наиболее восприимчивыми к минимальным температурам во время зимовки были сорта западно-европейской группы, 77,3 %. Наибольшая разница между максимальными и минимальными показателями распускания глазков составляла 9 % (табл. 2).</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Наибольший коэффициент плодоношения и плодоносности были у сортов западно-европейской группы и составляли соответственно 1,16 и 1,42. Наименьшие показатели были у сортов побережья Черного моря. Разница между наибольшими и наименьшими показателями по коэффициенту плодоношения и плодоносности была 21 %. Остальные сорта занимали промежуточное положение.</w:t>
      </w:r>
    </w:p>
    <w:p w:rsidR="00D259D8" w:rsidRPr="00D259D8" w:rsidRDefault="00D259D8" w:rsidP="00D259D8">
      <w:pPr>
        <w:widowControl w:val="0"/>
        <w:autoSpaceDE w:val="0"/>
        <w:autoSpaceDN w:val="0"/>
        <w:adjustRightInd w:val="0"/>
        <w:spacing w:before="240" w:after="0" w:line="240" w:lineRule="auto"/>
        <w:jc w:val="right"/>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 xml:space="preserve">Таблица 2 </w:t>
      </w:r>
    </w:p>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259D8">
        <w:rPr>
          <w:rFonts w:ascii="Times New Roman" w:eastAsia="Times New Roman" w:hAnsi="Times New Roman" w:cs="Times New Roman"/>
          <w:b/>
          <w:sz w:val="24"/>
          <w:szCs w:val="24"/>
          <w:lang w:eastAsia="ru-RU"/>
        </w:rPr>
        <w:t xml:space="preserve">Реакция столовых сортов винограда разных групп </w:t>
      </w:r>
    </w:p>
    <w:p w:rsidR="00D259D8" w:rsidRPr="00D259D8" w:rsidRDefault="00D259D8" w:rsidP="00D259D8">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D259D8">
        <w:rPr>
          <w:rFonts w:ascii="Times New Roman" w:eastAsia="Times New Roman" w:hAnsi="Times New Roman" w:cs="Times New Roman"/>
          <w:b/>
          <w:sz w:val="24"/>
          <w:szCs w:val="24"/>
          <w:lang w:eastAsia="ru-RU"/>
        </w:rPr>
        <w:t>по эколого-географическому происхождению в нестабильных погодных условиях умеренно континентального климата юга России, г.-к. Анапа, 2007–2015 гг.</w:t>
      </w:r>
    </w:p>
    <w:tbl>
      <w:tblPr>
        <w:tblW w:w="9161" w:type="dxa"/>
        <w:tblInd w:w="-5" w:type="dxa"/>
        <w:tblLayout w:type="fixed"/>
        <w:tblLook w:val="04A0" w:firstRow="1" w:lastRow="0" w:firstColumn="1" w:lastColumn="0" w:noHBand="0" w:noVBand="1"/>
      </w:tblPr>
      <w:tblGrid>
        <w:gridCol w:w="1701"/>
        <w:gridCol w:w="851"/>
        <w:gridCol w:w="850"/>
        <w:gridCol w:w="875"/>
        <w:gridCol w:w="826"/>
        <w:gridCol w:w="851"/>
        <w:gridCol w:w="762"/>
        <w:gridCol w:w="813"/>
        <w:gridCol w:w="693"/>
        <w:gridCol w:w="939"/>
      </w:tblGrid>
      <w:tr w:rsidR="00D259D8" w:rsidRPr="00D259D8" w:rsidTr="00D539E6">
        <w:trPr>
          <w:cantSplit/>
          <w:trHeight w:val="1740"/>
        </w:trPr>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Наименование групп сортов по происхождению</w:t>
            </w:r>
          </w:p>
        </w:tc>
        <w:tc>
          <w:tcPr>
            <w:tcW w:w="851" w:type="dxa"/>
            <w:tcBorders>
              <w:top w:val="single" w:sz="4" w:space="0" w:color="auto"/>
              <w:left w:val="nil"/>
              <w:bottom w:val="single" w:sz="4" w:space="0" w:color="auto"/>
              <w:right w:val="nil"/>
            </w:tcBorders>
            <w:textDirection w:val="btLr"/>
            <w:vAlign w:val="center"/>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Распускание глазков,</w:t>
            </w:r>
          </w:p>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Коэффициент плодоношения,</w:t>
            </w:r>
          </w:p>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w:t>
            </w:r>
            <w:r w:rsidRPr="00D259D8">
              <w:rPr>
                <w:rFonts w:ascii="Times New Roman" w:eastAsia="Times New Roman" w:hAnsi="Times New Roman" w:cs="Times New Roman"/>
                <w:sz w:val="24"/>
                <w:szCs w:val="24"/>
                <w:vertAlign w:val="subscript"/>
                <w:lang w:eastAsia="ru-RU"/>
              </w:rPr>
              <w:t>1</w:t>
            </w:r>
          </w:p>
        </w:tc>
        <w:tc>
          <w:tcPr>
            <w:tcW w:w="875"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Коэффициент плодоносности,</w:t>
            </w:r>
          </w:p>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w:t>
            </w:r>
            <w:r w:rsidRPr="00D259D8">
              <w:rPr>
                <w:rFonts w:ascii="Times New Roman" w:eastAsia="Times New Roman" w:hAnsi="Times New Roman" w:cs="Times New Roman"/>
                <w:sz w:val="24"/>
                <w:szCs w:val="24"/>
                <w:vertAlign w:val="subscript"/>
                <w:lang w:eastAsia="ru-RU"/>
              </w:rPr>
              <w:t>2</w:t>
            </w:r>
          </w:p>
        </w:tc>
        <w:tc>
          <w:tcPr>
            <w:tcW w:w="826"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Средняя масса грозди, г</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Продуктивность побега, г</w:t>
            </w:r>
          </w:p>
        </w:tc>
        <w:tc>
          <w:tcPr>
            <w:tcW w:w="762"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Урожайность куста, кг</w:t>
            </w:r>
          </w:p>
        </w:tc>
        <w:tc>
          <w:tcPr>
            <w:tcW w:w="81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Сахаристость, г/100 см</w:t>
            </w:r>
            <w:r w:rsidRPr="00D259D8">
              <w:rPr>
                <w:rFonts w:ascii="Times New Roman" w:eastAsia="Times New Roman" w:hAnsi="Times New Roman" w:cs="Times New Roman"/>
                <w:sz w:val="24"/>
                <w:szCs w:val="24"/>
                <w:vertAlign w:val="superscript"/>
                <w:lang w:eastAsia="ru-RU"/>
              </w:rPr>
              <w:t>3</w:t>
            </w:r>
          </w:p>
        </w:tc>
        <w:tc>
          <w:tcPr>
            <w:tcW w:w="693"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Кислотность, г/дм</w:t>
            </w:r>
            <w:r w:rsidRPr="00D259D8">
              <w:rPr>
                <w:rFonts w:ascii="Times New Roman" w:eastAsia="Times New Roman" w:hAnsi="Times New Roman" w:cs="Times New Roman"/>
                <w:sz w:val="24"/>
                <w:szCs w:val="24"/>
                <w:vertAlign w:val="superscript"/>
                <w:lang w:eastAsia="ru-RU"/>
              </w:rPr>
              <w:t>3</w:t>
            </w:r>
          </w:p>
        </w:tc>
        <w:tc>
          <w:tcPr>
            <w:tcW w:w="939" w:type="dxa"/>
            <w:tcBorders>
              <w:top w:val="single" w:sz="4" w:space="0" w:color="auto"/>
              <w:left w:val="nil"/>
              <w:bottom w:val="single" w:sz="4" w:space="0" w:color="auto"/>
              <w:right w:val="single" w:sz="4" w:space="0" w:color="auto"/>
            </w:tcBorders>
            <w:shd w:val="clear" w:color="auto" w:fill="auto"/>
            <w:textDirection w:val="btLr"/>
            <w:vAlign w:val="center"/>
            <w:hideMark/>
          </w:tcPr>
          <w:p w:rsidR="00D259D8" w:rsidRPr="00D259D8" w:rsidRDefault="00D259D8" w:rsidP="00D259D8">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Глюкоацидометрический показатель</w:t>
            </w:r>
          </w:p>
        </w:tc>
      </w:tr>
      <w:tr w:rsidR="00D259D8" w:rsidRPr="00D259D8" w:rsidTr="00D539E6">
        <w:trPr>
          <w:trHeight w:val="55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Западно-</w:t>
            </w:r>
          </w:p>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европейские</w:t>
            </w:r>
          </w:p>
        </w:tc>
        <w:tc>
          <w:tcPr>
            <w:tcW w:w="851"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77,31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1,16</w:t>
            </w:r>
          </w:p>
        </w:tc>
        <w:tc>
          <w:tcPr>
            <w:tcW w:w="875"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1,42</w:t>
            </w:r>
          </w:p>
        </w:tc>
        <w:tc>
          <w:tcPr>
            <w:tcW w:w="826"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299,53</w:t>
            </w:r>
          </w:p>
        </w:tc>
        <w:tc>
          <w:tcPr>
            <w:tcW w:w="851"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color w:val="000000"/>
                <w:lang w:eastAsia="ru-RU"/>
              </w:rPr>
              <w:t>347,45</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7,79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17,98</w:t>
            </w:r>
          </w:p>
        </w:tc>
        <w:tc>
          <w:tcPr>
            <w:tcW w:w="69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6,81</w:t>
            </w:r>
          </w:p>
        </w:tc>
        <w:tc>
          <w:tcPr>
            <w:tcW w:w="939"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D259D8">
              <w:rPr>
                <w:rFonts w:ascii="Times New Roman" w:eastAsia="Times New Roman" w:hAnsi="Times New Roman" w:cs="Times New Roman"/>
                <w:bCs/>
                <w:color w:val="000000"/>
                <w:lang w:eastAsia="ru-RU"/>
              </w:rPr>
              <w:t>2,64</w:t>
            </w:r>
          </w:p>
        </w:tc>
      </w:tr>
      <w:tr w:rsidR="00D259D8" w:rsidRPr="00D259D8" w:rsidTr="00D539E6">
        <w:trPr>
          <w:trHeight w:val="55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Восточные</w:t>
            </w:r>
          </w:p>
        </w:tc>
        <w:tc>
          <w:tcPr>
            <w:tcW w:w="851"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80,32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0,95</w:t>
            </w:r>
          </w:p>
        </w:tc>
        <w:tc>
          <w:tcPr>
            <w:tcW w:w="875"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1,30</w:t>
            </w:r>
          </w:p>
        </w:tc>
        <w:tc>
          <w:tcPr>
            <w:tcW w:w="826"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400,38</w:t>
            </w:r>
          </w:p>
        </w:tc>
        <w:tc>
          <w:tcPr>
            <w:tcW w:w="851"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380,36</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8,62</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16,03</w:t>
            </w:r>
          </w:p>
        </w:tc>
        <w:tc>
          <w:tcPr>
            <w:tcW w:w="69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6,90</w:t>
            </w:r>
          </w:p>
        </w:tc>
        <w:tc>
          <w:tcPr>
            <w:tcW w:w="939"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D259D8">
              <w:rPr>
                <w:rFonts w:ascii="Times New Roman" w:eastAsia="Times New Roman" w:hAnsi="Times New Roman" w:cs="Times New Roman"/>
                <w:bCs/>
                <w:color w:val="000000"/>
                <w:lang w:eastAsia="ru-RU"/>
              </w:rPr>
              <w:t>2,32</w:t>
            </w:r>
          </w:p>
        </w:tc>
      </w:tr>
      <w:tr w:rsidR="00D259D8" w:rsidRPr="00D259D8" w:rsidTr="00D539E6">
        <w:trPr>
          <w:trHeight w:val="55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Побережья</w:t>
            </w:r>
          </w:p>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Черного моря</w:t>
            </w:r>
          </w:p>
        </w:tc>
        <w:tc>
          <w:tcPr>
            <w:tcW w:w="851"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85,24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0,92</w:t>
            </w:r>
          </w:p>
        </w:tc>
        <w:tc>
          <w:tcPr>
            <w:tcW w:w="875"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1,12</w:t>
            </w:r>
          </w:p>
        </w:tc>
        <w:tc>
          <w:tcPr>
            <w:tcW w:w="826"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315,24</w:t>
            </w:r>
          </w:p>
        </w:tc>
        <w:tc>
          <w:tcPr>
            <w:tcW w:w="851"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290,02</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8,65</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17,16</w:t>
            </w:r>
          </w:p>
        </w:tc>
        <w:tc>
          <w:tcPr>
            <w:tcW w:w="69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7,34</w:t>
            </w:r>
          </w:p>
        </w:tc>
        <w:tc>
          <w:tcPr>
            <w:tcW w:w="939"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D259D8">
              <w:rPr>
                <w:rFonts w:ascii="Times New Roman" w:eastAsia="Times New Roman" w:hAnsi="Times New Roman" w:cs="Times New Roman"/>
                <w:bCs/>
                <w:color w:val="000000"/>
                <w:lang w:eastAsia="ru-RU"/>
              </w:rPr>
              <w:t>2,34</w:t>
            </w:r>
          </w:p>
        </w:tc>
      </w:tr>
      <w:tr w:rsidR="00D259D8" w:rsidRPr="00D259D8" w:rsidTr="00D539E6">
        <w:trPr>
          <w:trHeight w:val="552"/>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Межвидовые</w:t>
            </w:r>
          </w:p>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гибриды</w:t>
            </w:r>
          </w:p>
        </w:tc>
        <w:tc>
          <w:tcPr>
            <w:tcW w:w="851"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80,34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1,09</w:t>
            </w:r>
          </w:p>
        </w:tc>
        <w:tc>
          <w:tcPr>
            <w:tcW w:w="875"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1,28</w:t>
            </w:r>
          </w:p>
        </w:tc>
        <w:tc>
          <w:tcPr>
            <w:tcW w:w="826"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485,79</w:t>
            </w:r>
          </w:p>
        </w:tc>
        <w:tc>
          <w:tcPr>
            <w:tcW w:w="851"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529,51</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16,79</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17,30</w:t>
            </w:r>
          </w:p>
        </w:tc>
        <w:tc>
          <w:tcPr>
            <w:tcW w:w="69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6,65</w:t>
            </w:r>
          </w:p>
        </w:tc>
        <w:tc>
          <w:tcPr>
            <w:tcW w:w="939"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D259D8">
              <w:rPr>
                <w:rFonts w:ascii="Times New Roman" w:eastAsia="Times New Roman" w:hAnsi="Times New Roman" w:cs="Times New Roman"/>
                <w:bCs/>
                <w:color w:val="000000"/>
                <w:lang w:eastAsia="ru-RU"/>
              </w:rPr>
              <w:t>2,60</w:t>
            </w:r>
          </w:p>
        </w:tc>
      </w:tr>
      <w:tr w:rsidR="00D259D8" w:rsidRPr="00D259D8" w:rsidTr="00D539E6">
        <w:trPr>
          <w:trHeight w:val="552"/>
        </w:trPr>
        <w:tc>
          <w:tcPr>
            <w:tcW w:w="1701" w:type="dxa"/>
            <w:tcBorders>
              <w:top w:val="nil"/>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Внутривидовые гибриды</w:t>
            </w:r>
          </w:p>
        </w:tc>
        <w:tc>
          <w:tcPr>
            <w:tcW w:w="851" w:type="dxa"/>
            <w:tcBorders>
              <w:top w:val="single" w:sz="4" w:space="0" w:color="auto"/>
              <w:left w:val="nil"/>
              <w:bottom w:val="single" w:sz="4" w:space="0" w:color="auto"/>
              <w:right w:val="nil"/>
            </w:tcBorders>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83,08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1,04</w:t>
            </w:r>
          </w:p>
        </w:tc>
        <w:tc>
          <w:tcPr>
            <w:tcW w:w="875"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1,30</w:t>
            </w:r>
          </w:p>
        </w:tc>
        <w:tc>
          <w:tcPr>
            <w:tcW w:w="826"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306,23</w:t>
            </w:r>
          </w:p>
        </w:tc>
        <w:tc>
          <w:tcPr>
            <w:tcW w:w="851" w:type="dxa"/>
            <w:tcBorders>
              <w:top w:val="nil"/>
              <w:left w:val="nil"/>
              <w:bottom w:val="single" w:sz="4" w:space="0" w:color="auto"/>
              <w:right w:val="nil"/>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318,48</w:t>
            </w:r>
          </w:p>
        </w:tc>
        <w:tc>
          <w:tcPr>
            <w:tcW w:w="7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10,51</w:t>
            </w:r>
          </w:p>
        </w:tc>
        <w:tc>
          <w:tcPr>
            <w:tcW w:w="81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17,76</w:t>
            </w:r>
          </w:p>
        </w:tc>
        <w:tc>
          <w:tcPr>
            <w:tcW w:w="693"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spacing w:after="0" w:line="240" w:lineRule="auto"/>
              <w:jc w:val="center"/>
              <w:rPr>
                <w:rFonts w:ascii="Times New Roman" w:eastAsia="Times New Roman" w:hAnsi="Times New Roman" w:cs="Times New Roman"/>
                <w:bCs/>
                <w:color w:val="000000"/>
                <w:lang w:eastAsia="ru-RU"/>
              </w:rPr>
            </w:pPr>
            <w:r w:rsidRPr="00D259D8">
              <w:rPr>
                <w:rFonts w:ascii="Times New Roman" w:eastAsia="Times New Roman" w:hAnsi="Times New Roman" w:cs="Times New Roman"/>
                <w:bCs/>
                <w:color w:val="000000"/>
                <w:lang w:eastAsia="ru-RU"/>
              </w:rPr>
              <w:t>6,58</w:t>
            </w:r>
          </w:p>
        </w:tc>
        <w:tc>
          <w:tcPr>
            <w:tcW w:w="939" w:type="dxa"/>
            <w:tcBorders>
              <w:top w:val="nil"/>
              <w:left w:val="nil"/>
              <w:bottom w:val="single" w:sz="4" w:space="0" w:color="auto"/>
              <w:right w:val="single" w:sz="4" w:space="0" w:color="auto"/>
            </w:tcBorders>
            <w:shd w:val="clear" w:color="auto" w:fill="auto"/>
            <w:noWrap/>
            <w:vAlign w:val="center"/>
          </w:tcPr>
          <w:p w:rsidR="00D259D8" w:rsidRPr="00D259D8" w:rsidRDefault="00D259D8" w:rsidP="00D259D8">
            <w:pPr>
              <w:widowControl w:val="0"/>
              <w:autoSpaceDE w:val="0"/>
              <w:autoSpaceDN w:val="0"/>
              <w:adjustRightInd w:val="0"/>
              <w:spacing w:after="0" w:line="240" w:lineRule="auto"/>
              <w:jc w:val="center"/>
              <w:rPr>
                <w:rFonts w:ascii="Times New Roman" w:eastAsia="Times New Roman" w:hAnsi="Times New Roman" w:cs="Times New Roman"/>
                <w:bCs/>
                <w:lang w:eastAsia="ru-RU"/>
              </w:rPr>
            </w:pPr>
            <w:r w:rsidRPr="00D259D8">
              <w:rPr>
                <w:rFonts w:ascii="Times New Roman" w:eastAsia="Times New Roman" w:hAnsi="Times New Roman" w:cs="Times New Roman"/>
                <w:bCs/>
                <w:color w:val="000000"/>
                <w:lang w:eastAsia="ru-RU"/>
              </w:rPr>
              <w:t>2,70</w:t>
            </w:r>
          </w:p>
        </w:tc>
      </w:tr>
    </w:tbl>
    <w:p w:rsidR="00D259D8" w:rsidRPr="00D259D8" w:rsidRDefault="00D259D8" w:rsidP="00D259D8">
      <w:pPr>
        <w:widowControl w:val="0"/>
        <w:autoSpaceDE w:val="0"/>
        <w:autoSpaceDN w:val="0"/>
        <w:adjustRightInd w:val="0"/>
        <w:spacing w:before="240"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По массе гроздей выделялись сорта межвидовой и восточной групп. У сортов межвидовых гибридов она составляла 486 г, восточной группы – 400 г. У сортов западно-европейской селекции она была меньше на 38 %.</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Наибольшей урожайностью среди столовых сортов, как и технических, выделялись межвидовые гибриды. В среднем за время изучения она составила 16,79 кг/куст. Далее в убывающем порядке следуют сорта внутривидовых гибридов, побережья Черного моря, восточной и западно-европейской групп.</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sz w:val="30"/>
          <w:szCs w:val="30"/>
          <w:lang w:eastAsia="ru-RU"/>
        </w:rPr>
        <w:t>По качественным показателям сока ягод винограда выделяются сорта западно-европейской группы. У этих сортов сахаристость и глюкоацидометрический показатели были наибольшими по сравнению с другими изучаемыми группами.</w:t>
      </w:r>
    </w:p>
    <w:p w:rsidR="00D259D8" w:rsidRPr="00D259D8" w:rsidRDefault="00D259D8" w:rsidP="00D259D8">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D259D8">
        <w:rPr>
          <w:rFonts w:ascii="Times New Roman" w:eastAsia="Times New Roman" w:hAnsi="Times New Roman" w:cs="Times New Roman"/>
          <w:b/>
          <w:sz w:val="30"/>
          <w:szCs w:val="30"/>
          <w:lang w:eastAsia="ru-RU"/>
        </w:rPr>
        <w:lastRenderedPageBreak/>
        <w:t xml:space="preserve">Выводы. </w:t>
      </w:r>
      <w:r w:rsidRPr="00D259D8">
        <w:rPr>
          <w:rFonts w:ascii="Times New Roman" w:eastAsia="Times New Roman" w:hAnsi="Times New Roman" w:cs="Times New Roman"/>
          <w:sz w:val="30"/>
          <w:szCs w:val="30"/>
          <w:lang w:eastAsia="ru-RU"/>
        </w:rPr>
        <w:t>Длительное изучение генотипов винограда разного эколого-географического происхождения в одинаковых агроэкологических условиях позволяет выделить группы сортов по важнейшим биологическим, адаптивным и хозяйственно ценным признакам для возделывания в нестабильных погодных условиях умеренно континентального климата юга России.</w:t>
      </w:r>
      <w:r w:rsidRPr="00D259D8">
        <w:rPr>
          <w:rFonts w:ascii="Times New Roman" w:eastAsia="Times New Roman" w:hAnsi="Times New Roman" w:cs="Times New Roman"/>
          <w:b/>
          <w:sz w:val="30"/>
          <w:szCs w:val="30"/>
          <w:lang w:eastAsia="ru-RU"/>
        </w:rPr>
        <w:t xml:space="preserve"> </w:t>
      </w:r>
      <w:r w:rsidRPr="00D259D8">
        <w:rPr>
          <w:rFonts w:ascii="Times New Roman" w:eastAsia="Times New Roman" w:hAnsi="Times New Roman" w:cs="Times New Roman"/>
          <w:sz w:val="30"/>
          <w:szCs w:val="30"/>
          <w:lang w:eastAsia="ru-RU"/>
        </w:rPr>
        <w:t xml:space="preserve">По адаптивности к минимальным температурам воздуха в условиях зимовки выделяется группа сортов винограда Черноморского побережья. Наибольшую урожайность показывают сорта винограда межвидовых гибридов. По качественным показателям преимущество имеет западно-европейская группа сортов. </w:t>
      </w:r>
    </w:p>
    <w:p w:rsidR="00D259D8" w:rsidRPr="00D259D8" w:rsidRDefault="00D259D8" w:rsidP="00D259D8">
      <w:pPr>
        <w:widowControl w:val="0"/>
        <w:tabs>
          <w:tab w:val="left" w:pos="1134"/>
        </w:tabs>
        <w:autoSpaceDE w:val="0"/>
        <w:autoSpaceDN w:val="0"/>
        <w:adjustRightInd w:val="0"/>
        <w:spacing w:before="240" w:after="120" w:line="240" w:lineRule="auto"/>
        <w:jc w:val="center"/>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Литература</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Жученко, А.А. Система адаптивного реагирования на глобальные и локальные изменения погоды и климата / А.А. Жученко // Экономика сельскохозяйственных и перерабатывающих предприятий. – 2010. – № 10. – С. 1–5.</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Петров, В.С. Научные основы устойчивого выращивания винограда в аномальных погодных условиях. Монография / В.С. Петров, Т.П. Павлюкова, А.И. Талаш. – Краснодар: ГНУ СКЗНИИСиВ, 2014. – 157 с.</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Система виноградарства Краснодарского края. Методические рекомендации / Е.А. Егоров, И.А. Ильина, К.А. Серпуховитина [и др.] – Краснодар: ГНУ Северо-Кавказский зональный НИИ садоводства и виноградарства, Департамент сельского хозяйства и перерабатывающей промышленности Краснодарского края, 2007. – 125 с.</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Система виноградарства Ставропольского края (методические рекомендации) / Е.А. Егоров, И.А. Ильина, К.А. Серпуховитина [и др.] – Краснодар: ГНУ Северо-Кавказский зональный НИИ садоводства и виноградарства, Союз виноградарей и виноделов Ставрополья, 2010. – 156 с.</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noProof/>
          <w:sz w:val="24"/>
          <w:szCs w:val="24"/>
          <w:lang w:eastAsia="ru-RU"/>
        </w:rPr>
        <w:t xml:space="preserve">Селекционно – технологические методы повышения стрессоустойчивости винограда / </w:t>
      </w:r>
      <w:r w:rsidRPr="00D259D8">
        <w:rPr>
          <w:rFonts w:ascii="Times New Roman" w:eastAsia="Times New Roman" w:hAnsi="Times New Roman" w:cs="Times New Roman"/>
          <w:sz w:val="24"/>
          <w:szCs w:val="24"/>
          <w:lang w:eastAsia="ru-RU"/>
        </w:rPr>
        <w:t>Петров В.С., Ильина И.А., Нудьга Т.А.</w:t>
      </w:r>
      <w:r w:rsidRPr="00D259D8">
        <w:rPr>
          <w:rFonts w:ascii="Times New Roman" w:eastAsia="Times New Roman" w:hAnsi="Times New Roman" w:cs="Times New Roman"/>
          <w:noProof/>
          <w:sz w:val="24"/>
          <w:szCs w:val="24"/>
          <w:lang w:eastAsia="ru-RU"/>
        </w:rPr>
        <w:t xml:space="preserve"> </w:t>
      </w:r>
      <w:r w:rsidRPr="00D259D8">
        <w:rPr>
          <w:rFonts w:ascii="Times New Roman" w:eastAsia="Times New Roman" w:hAnsi="Times New Roman" w:cs="Times New Roman"/>
          <w:sz w:val="24"/>
          <w:szCs w:val="24"/>
          <w:lang w:eastAsia="ru-RU"/>
        </w:rPr>
        <w:t xml:space="preserve">[и др.] // Методы и способы повышения стрессоустойчивости плодовых культур и винограда. Сборник материалов международной дистанционной научно-практической конференции (10 июля – 21 августа </w:t>
      </w:r>
      <w:smartTag w:uri="urn:schemas-microsoft-com:office:smarttags" w:element="metricconverter">
        <w:smartTagPr>
          <w:attr w:name="ProductID" w:val="2009 г"/>
        </w:smartTagPr>
        <w:r w:rsidRPr="00D259D8">
          <w:rPr>
            <w:rFonts w:ascii="Times New Roman" w:eastAsia="Times New Roman" w:hAnsi="Times New Roman" w:cs="Times New Roman"/>
            <w:sz w:val="24"/>
            <w:szCs w:val="24"/>
            <w:lang w:eastAsia="ru-RU"/>
          </w:rPr>
          <w:t>2009 г</w:t>
        </w:r>
      </w:smartTag>
      <w:r w:rsidRPr="00D259D8">
        <w:rPr>
          <w:rFonts w:ascii="Times New Roman" w:eastAsia="Times New Roman" w:hAnsi="Times New Roman" w:cs="Times New Roman"/>
          <w:sz w:val="24"/>
          <w:szCs w:val="24"/>
          <w:lang w:eastAsia="ru-RU"/>
        </w:rPr>
        <w:t>.). – Краснодар: ГНУ СКЗНИИСиВ. – 2009. –    С. 144 – 156.</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val="en-US" w:eastAsia="ru-RU"/>
        </w:rPr>
      </w:pPr>
      <w:r w:rsidRPr="00D259D8">
        <w:rPr>
          <w:rFonts w:ascii="Times New Roman" w:eastAsia="Times New Roman" w:hAnsi="Times New Roman" w:cs="Times New Roman"/>
          <w:sz w:val="24"/>
          <w:szCs w:val="24"/>
          <w:lang w:val="en-US" w:eastAsia="ru-RU"/>
        </w:rPr>
        <w:t xml:space="preserve">Jorger, V. Tafeltrauben sind auch fur Baden ein Thema / Jorger V., Boos M., Ludewig B. // Bad. Winzer. – 2006. – </w:t>
      </w:r>
      <w:r w:rsidRPr="00D259D8">
        <w:rPr>
          <w:rFonts w:ascii="Times New Roman" w:eastAsia="Times New Roman" w:hAnsi="Times New Roman" w:cs="Times New Roman"/>
          <w:sz w:val="24"/>
          <w:szCs w:val="24"/>
          <w:lang w:eastAsia="ru-RU"/>
        </w:rPr>
        <w:t xml:space="preserve">№ </w:t>
      </w:r>
      <w:r w:rsidRPr="00D259D8">
        <w:rPr>
          <w:rFonts w:ascii="Times New Roman" w:eastAsia="Times New Roman" w:hAnsi="Times New Roman" w:cs="Times New Roman"/>
          <w:sz w:val="24"/>
          <w:szCs w:val="24"/>
          <w:lang w:val="en-US" w:eastAsia="ru-RU"/>
        </w:rPr>
        <w:t>11. – P. 28 – 31.</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Павлюченко, Н.Г. Сорт винограда Цимлянский черный / Н.Г. Павлюченко / Виноделие и виноградарство. – 2004. –  № 1. – С. 40.</w:t>
      </w:r>
    </w:p>
    <w:p w:rsidR="00D259D8" w:rsidRPr="00D259D8" w:rsidRDefault="00D259D8" w:rsidP="00D259D8">
      <w:pPr>
        <w:widowControl w:val="0"/>
        <w:numPr>
          <w:ilvl w:val="0"/>
          <w:numId w:val="1"/>
        </w:numPr>
        <w:tabs>
          <w:tab w:val="left" w:pos="1134"/>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259D8">
        <w:rPr>
          <w:rFonts w:ascii="Times New Roman" w:eastAsia="Times New Roman" w:hAnsi="Times New Roman" w:cs="Times New Roman"/>
          <w:sz w:val="24"/>
          <w:szCs w:val="24"/>
          <w:lang w:eastAsia="ru-RU"/>
        </w:rPr>
        <w:t>Макарова, Г.А. Катыр – сорт винограда алтайской селекции / Г.А. Макарова // Садоводство и виноградарство. – 2007. – № 3. – С. 24.</w:t>
      </w:r>
    </w:p>
    <w:p w:rsidR="00FD7B51" w:rsidRDefault="00D259D8" w:rsidP="00D259D8">
      <w:r w:rsidRPr="00D259D8">
        <w:rPr>
          <w:rFonts w:ascii="Arial Narrow" w:eastAsia="Calibri" w:hAnsi="Arial Narrow" w:cs="Times New Roman"/>
          <w:sz w:val="20"/>
          <w:szCs w:val="20"/>
        </w:rPr>
        <w:br w:type="page"/>
      </w:r>
      <w:bookmarkStart w:id="0" w:name="_GoBack"/>
      <w:bookmarkEnd w:id="0"/>
    </w:p>
    <w:sectPr w:rsidR="00FD7B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7A" w:rsidRDefault="0067797A" w:rsidP="00D259D8">
      <w:pPr>
        <w:spacing w:after="0" w:line="240" w:lineRule="auto"/>
      </w:pPr>
      <w:r>
        <w:separator/>
      </w:r>
    </w:p>
  </w:endnote>
  <w:endnote w:type="continuationSeparator" w:id="0">
    <w:p w:rsidR="0067797A" w:rsidRDefault="0067797A" w:rsidP="00D2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7A" w:rsidRDefault="0067797A" w:rsidP="00D259D8">
      <w:pPr>
        <w:spacing w:after="0" w:line="240" w:lineRule="auto"/>
      </w:pPr>
      <w:r>
        <w:separator/>
      </w:r>
    </w:p>
  </w:footnote>
  <w:footnote w:type="continuationSeparator" w:id="0">
    <w:p w:rsidR="0067797A" w:rsidRDefault="0067797A" w:rsidP="00D259D8">
      <w:pPr>
        <w:spacing w:after="0" w:line="240" w:lineRule="auto"/>
      </w:pPr>
      <w:r>
        <w:continuationSeparator/>
      </w:r>
    </w:p>
  </w:footnote>
  <w:footnote w:id="1">
    <w:p w:rsidR="00D259D8" w:rsidRPr="00310338" w:rsidRDefault="00D259D8" w:rsidP="00D259D8">
      <w:pPr>
        <w:pStyle w:val="a3"/>
      </w:pPr>
      <w:r>
        <w:rPr>
          <w:rStyle w:val="a5"/>
        </w:rPr>
        <w:t>*</w:t>
      </w:r>
      <w:r>
        <w:t xml:space="preserve"> Работа выполнена в рамках регионального конкурса РФФИ и администрации Краснодарского края, грант № 16-44-230115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65E8D"/>
    <w:multiLevelType w:val="hybridMultilevel"/>
    <w:tmpl w:val="30B60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D8"/>
    <w:rsid w:val="0067797A"/>
    <w:rsid w:val="00D259D8"/>
    <w:rsid w:val="00FD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AC1FED3-520B-4403-979D-D1C143FB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259D8"/>
    <w:pPr>
      <w:spacing w:after="0" w:line="240" w:lineRule="auto"/>
    </w:pPr>
    <w:rPr>
      <w:sz w:val="20"/>
      <w:szCs w:val="20"/>
    </w:rPr>
  </w:style>
  <w:style w:type="character" w:customStyle="1" w:styleId="a4">
    <w:name w:val="Текст сноски Знак"/>
    <w:basedOn w:val="a0"/>
    <w:link w:val="a3"/>
    <w:uiPriority w:val="99"/>
    <w:semiHidden/>
    <w:rsid w:val="00D259D8"/>
    <w:rPr>
      <w:sz w:val="20"/>
      <w:szCs w:val="20"/>
    </w:rPr>
  </w:style>
  <w:style w:type="character" w:styleId="a5">
    <w:name w:val="footnote reference"/>
    <w:aliases w:val="Знак сноски 1,Знак сноски-FN,Ciae niinee-FN,Referencia nota al pie"/>
    <w:uiPriority w:val="99"/>
    <w:rsid w:val="00D259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v_53@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ov_53@mail.ru" TargetMode="External"/><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zosviv@mail.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1052;&#1077;&#1090;&#1077;&#1086;&#1076;&#1072;&#1085;&#1085;&#1099;&#1077;\&#1040;&#1085;&#1072;&#1087;&#1072;\&#1040;&#1085;&#1072;&#1087;&#1072;%20&#1041;&#1044;\&#1057;&#1088;&#1077;&#1076;&#1085;&#1103;&#1103;%20&#1090;&#1077;&#1084;&#1087;&#1077;&#1088;&#1072;&#1090;&#1091;&#1088;&#1072;%20&#1040;&#1085;&#1072;&#1087;&#1072;.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1052;&#1077;&#1090;&#1077;&#1086;&#1076;&#1072;&#1085;&#1085;&#1099;&#1077;\&#1040;&#1085;&#1072;&#1087;&#1072;\&#1040;&#1085;&#1072;&#1087;&#1072;%20&#1041;&#1044;\&#1052;&#1080;&#1085;&#1080;&#1084;&#1072;&#1083;&#1100;&#1085;&#1072;&#1103;%20&#1090;&#1077;&#1084;&#1087;&#1077;&#1088;&#1072;&#1090;&#1091;&#1088;&#1072;%20&#1040;&#1085;&#1072;&#1087;&#1072;.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2;&#1077;&#1090;&#1077;&#1086;&#1076;&#1072;&#1085;&#1085;&#1099;&#1077;\&#1040;&#1085;&#1072;&#1087;&#1072;\&#1040;&#1085;&#1072;&#1087;&#1072;%20&#1041;&#1044;\&#1054;&#1089;&#1072;&#1076;&#1082;&#1080;%20&#1040;&#1085;&#1072;&#1087;&#1072;.xls"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323931581745317E-2"/>
          <c:y val="5.2824074074074072E-2"/>
          <c:w val="0.89441660078859486"/>
          <c:h val="0.77187163217278465"/>
        </c:manualLayout>
      </c:layout>
      <c:lineChart>
        <c:grouping val="standard"/>
        <c:varyColors val="0"/>
        <c:ser>
          <c:idx val="0"/>
          <c:order val="0"/>
          <c:tx>
            <c:strRef>
              <c:f>Лист3!$B$99</c:f>
              <c:strCache>
                <c:ptCount val="1"/>
                <c:pt idx="0">
                  <c:v>Среднедекадная</c:v>
                </c:pt>
              </c:strCache>
            </c:strRef>
          </c:tx>
          <c:spPr>
            <a:ln w="19050" cap="rnd">
              <a:solidFill>
                <a:srgbClr val="7AB94F"/>
              </a:solidFill>
              <a:round/>
            </a:ln>
            <a:effectLst/>
          </c:spPr>
          <c:marker>
            <c:symbol val="none"/>
          </c:marker>
          <c:trendline>
            <c:spPr>
              <a:ln w="38100" cap="rnd">
                <a:solidFill>
                  <a:schemeClr val="accent6">
                    <a:lumMod val="50000"/>
                  </a:schemeClr>
                </a:solidFill>
                <a:prstDash val="solid"/>
              </a:ln>
              <a:effectLst/>
            </c:spPr>
            <c:trendlineType val="poly"/>
            <c:order val="2"/>
            <c:dispRSqr val="0"/>
            <c:dispEq val="0"/>
          </c:trendline>
          <c:cat>
            <c:multiLvlStrRef>
              <c:f>Лист3!$C$97:$AH$98</c:f>
              <c:multiLvlStrCache>
                <c:ptCount val="32"/>
                <c:lvl>
                  <c:pt idx="2">
                    <c:v>1</c:v>
                  </c:pt>
                  <c:pt idx="3">
                    <c:v>2</c:v>
                  </c:pt>
                  <c:pt idx="4">
                    <c:v>3</c:v>
                  </c:pt>
                  <c:pt idx="5">
                    <c:v>1</c:v>
                  </c:pt>
                  <c:pt idx="6">
                    <c:v>2</c:v>
                  </c:pt>
                  <c:pt idx="7">
                    <c:v>3</c:v>
                  </c:pt>
                  <c:pt idx="8">
                    <c:v>1</c:v>
                  </c:pt>
                  <c:pt idx="9">
                    <c:v>2</c:v>
                  </c:pt>
                  <c:pt idx="10">
                    <c:v>3</c:v>
                  </c:pt>
                  <c:pt idx="11">
                    <c:v>1</c:v>
                  </c:pt>
                  <c:pt idx="12">
                    <c:v>2</c:v>
                  </c:pt>
                  <c:pt idx="13">
                    <c:v>3</c:v>
                  </c:pt>
                  <c:pt idx="14">
                    <c:v>1</c:v>
                  </c:pt>
                  <c:pt idx="15">
                    <c:v>2</c:v>
                  </c:pt>
                  <c:pt idx="16">
                    <c:v>3</c:v>
                  </c:pt>
                  <c:pt idx="17">
                    <c:v>1</c:v>
                  </c:pt>
                  <c:pt idx="18">
                    <c:v>2</c:v>
                  </c:pt>
                  <c:pt idx="19">
                    <c:v>3</c:v>
                  </c:pt>
                  <c:pt idx="20">
                    <c:v>1</c:v>
                  </c:pt>
                  <c:pt idx="21">
                    <c:v>2</c:v>
                  </c:pt>
                  <c:pt idx="22">
                    <c:v>3</c:v>
                  </c:pt>
                  <c:pt idx="23">
                    <c:v>1</c:v>
                  </c:pt>
                  <c:pt idx="24">
                    <c:v>2</c:v>
                  </c:pt>
                  <c:pt idx="25">
                    <c:v>3</c:v>
                  </c:pt>
                  <c:pt idx="26">
                    <c:v>1</c:v>
                  </c:pt>
                  <c:pt idx="27">
                    <c:v>2</c:v>
                  </c:pt>
                  <c:pt idx="28">
                    <c:v>3</c:v>
                  </c:pt>
                  <c:pt idx="29">
                    <c:v>1</c:v>
                  </c:pt>
                  <c:pt idx="30">
                    <c:v>2</c:v>
                  </c:pt>
                  <c:pt idx="31">
                    <c:v>3</c:v>
                  </c:pt>
                </c:lvl>
                <c:lvl>
                  <c:pt idx="0">
                    <c:v>I</c:v>
                  </c:pt>
                  <c:pt idx="1">
                    <c:v>II</c:v>
                  </c:pt>
                  <c:pt idx="2">
                    <c:v>III</c:v>
                  </c:pt>
                  <c:pt idx="5">
                    <c:v>IV</c:v>
                  </c:pt>
                  <c:pt idx="8">
                    <c:v>V</c:v>
                  </c:pt>
                  <c:pt idx="11">
                    <c:v>VI</c:v>
                  </c:pt>
                  <c:pt idx="14">
                    <c:v>VII</c:v>
                  </c:pt>
                  <c:pt idx="17">
                    <c:v>VIII</c:v>
                  </c:pt>
                  <c:pt idx="20">
                    <c:v>IX</c:v>
                  </c:pt>
                  <c:pt idx="23">
                    <c:v>X</c:v>
                  </c:pt>
                  <c:pt idx="26">
                    <c:v>XI</c:v>
                  </c:pt>
                  <c:pt idx="29">
                    <c:v>XII</c:v>
                  </c:pt>
                </c:lvl>
              </c:multiLvlStrCache>
            </c:multiLvlStrRef>
          </c:cat>
          <c:val>
            <c:numRef>
              <c:f>Лист3!$C$99:$AH$99</c:f>
              <c:numCache>
                <c:formatCode>0.0</c:formatCode>
                <c:ptCount val="32"/>
                <c:pt idx="0">
                  <c:v>2.6</c:v>
                </c:pt>
                <c:pt idx="1">
                  <c:v>2.9</c:v>
                </c:pt>
                <c:pt idx="2">
                  <c:v>4.707894736842106</c:v>
                </c:pt>
                <c:pt idx="3">
                  <c:v>5.5684210526315798</c:v>
                </c:pt>
                <c:pt idx="4">
                  <c:v>7.4868421052631593</c:v>
                </c:pt>
                <c:pt idx="5">
                  <c:v>9.6973684210526336</c:v>
                </c:pt>
                <c:pt idx="6">
                  <c:v>11.054054054054051</c:v>
                </c:pt>
                <c:pt idx="7">
                  <c:v>11.984210526315788</c:v>
                </c:pt>
                <c:pt idx="8">
                  <c:v>13.774285714285712</c:v>
                </c:pt>
                <c:pt idx="9">
                  <c:v>15.970270270270269</c:v>
                </c:pt>
                <c:pt idx="10">
                  <c:v>17.824324324324323</c:v>
                </c:pt>
                <c:pt idx="11">
                  <c:v>19.218421052631577</c:v>
                </c:pt>
                <c:pt idx="12">
                  <c:v>20.939473684210526</c:v>
                </c:pt>
                <c:pt idx="13">
                  <c:v>21.902631578947371</c:v>
                </c:pt>
                <c:pt idx="14">
                  <c:v>22.923684210526311</c:v>
                </c:pt>
                <c:pt idx="15">
                  <c:v>23.878947368421048</c:v>
                </c:pt>
                <c:pt idx="16">
                  <c:v>24.283783783783786</c:v>
                </c:pt>
                <c:pt idx="17">
                  <c:v>24.545945945945945</c:v>
                </c:pt>
                <c:pt idx="18">
                  <c:v>23.997297297297298</c:v>
                </c:pt>
                <c:pt idx="19">
                  <c:v>22.666666666666671</c:v>
                </c:pt>
                <c:pt idx="20">
                  <c:v>20.459459459459456</c:v>
                </c:pt>
                <c:pt idx="21">
                  <c:v>18.761111111111109</c:v>
                </c:pt>
                <c:pt idx="22">
                  <c:v>17.581081081081081</c:v>
                </c:pt>
                <c:pt idx="23">
                  <c:v>15.352777777777776</c:v>
                </c:pt>
                <c:pt idx="24">
                  <c:v>13.3</c:v>
                </c:pt>
                <c:pt idx="25">
                  <c:v>10.916216216216219</c:v>
                </c:pt>
                <c:pt idx="26">
                  <c:v>9.5972972972972954</c:v>
                </c:pt>
                <c:pt idx="27">
                  <c:v>8.0467567567567571</c:v>
                </c:pt>
                <c:pt idx="28">
                  <c:v>7.1416666666666675</c:v>
                </c:pt>
                <c:pt idx="29">
                  <c:v>5.4057142857142857</c:v>
                </c:pt>
                <c:pt idx="30">
                  <c:v>4.0228571428571422</c:v>
                </c:pt>
                <c:pt idx="31">
                  <c:v>4.4542857142857137</c:v>
                </c:pt>
              </c:numCache>
            </c:numRef>
          </c:val>
          <c:smooth val="0"/>
        </c:ser>
        <c:ser>
          <c:idx val="1"/>
          <c:order val="1"/>
          <c:tx>
            <c:strRef>
              <c:f>Лист3!$B$100</c:f>
              <c:strCache>
                <c:ptCount val="1"/>
                <c:pt idx="0">
                  <c:v>max</c:v>
                </c:pt>
              </c:strCache>
            </c:strRef>
          </c:tx>
          <c:spPr>
            <a:ln w="19050" cap="rnd">
              <a:solidFill>
                <a:srgbClr val="FF7575"/>
              </a:solidFill>
              <a:round/>
            </a:ln>
            <a:effectLst/>
          </c:spPr>
          <c:marker>
            <c:symbol val="none"/>
          </c:marker>
          <c:trendline>
            <c:spPr>
              <a:ln w="38100" cap="rnd">
                <a:solidFill>
                  <a:srgbClr val="C00000"/>
                </a:solidFill>
                <a:prstDash val="solid"/>
              </a:ln>
              <a:effectLst/>
            </c:spPr>
            <c:trendlineType val="poly"/>
            <c:order val="2"/>
            <c:dispRSqr val="0"/>
            <c:dispEq val="0"/>
          </c:trendline>
          <c:cat>
            <c:multiLvlStrRef>
              <c:f>Лист3!$C$97:$AH$98</c:f>
              <c:multiLvlStrCache>
                <c:ptCount val="32"/>
                <c:lvl>
                  <c:pt idx="2">
                    <c:v>1</c:v>
                  </c:pt>
                  <c:pt idx="3">
                    <c:v>2</c:v>
                  </c:pt>
                  <c:pt idx="4">
                    <c:v>3</c:v>
                  </c:pt>
                  <c:pt idx="5">
                    <c:v>1</c:v>
                  </c:pt>
                  <c:pt idx="6">
                    <c:v>2</c:v>
                  </c:pt>
                  <c:pt idx="7">
                    <c:v>3</c:v>
                  </c:pt>
                  <c:pt idx="8">
                    <c:v>1</c:v>
                  </c:pt>
                  <c:pt idx="9">
                    <c:v>2</c:v>
                  </c:pt>
                  <c:pt idx="10">
                    <c:v>3</c:v>
                  </c:pt>
                  <c:pt idx="11">
                    <c:v>1</c:v>
                  </c:pt>
                  <c:pt idx="12">
                    <c:v>2</c:v>
                  </c:pt>
                  <c:pt idx="13">
                    <c:v>3</c:v>
                  </c:pt>
                  <c:pt idx="14">
                    <c:v>1</c:v>
                  </c:pt>
                  <c:pt idx="15">
                    <c:v>2</c:v>
                  </c:pt>
                  <c:pt idx="16">
                    <c:v>3</c:v>
                  </c:pt>
                  <c:pt idx="17">
                    <c:v>1</c:v>
                  </c:pt>
                  <c:pt idx="18">
                    <c:v>2</c:v>
                  </c:pt>
                  <c:pt idx="19">
                    <c:v>3</c:v>
                  </c:pt>
                  <c:pt idx="20">
                    <c:v>1</c:v>
                  </c:pt>
                  <c:pt idx="21">
                    <c:v>2</c:v>
                  </c:pt>
                  <c:pt idx="22">
                    <c:v>3</c:v>
                  </c:pt>
                  <c:pt idx="23">
                    <c:v>1</c:v>
                  </c:pt>
                  <c:pt idx="24">
                    <c:v>2</c:v>
                  </c:pt>
                  <c:pt idx="25">
                    <c:v>3</c:v>
                  </c:pt>
                  <c:pt idx="26">
                    <c:v>1</c:v>
                  </c:pt>
                  <c:pt idx="27">
                    <c:v>2</c:v>
                  </c:pt>
                  <c:pt idx="28">
                    <c:v>3</c:v>
                  </c:pt>
                  <c:pt idx="29">
                    <c:v>1</c:v>
                  </c:pt>
                  <c:pt idx="30">
                    <c:v>2</c:v>
                  </c:pt>
                  <c:pt idx="31">
                    <c:v>3</c:v>
                  </c:pt>
                </c:lvl>
                <c:lvl>
                  <c:pt idx="0">
                    <c:v>I</c:v>
                  </c:pt>
                  <c:pt idx="1">
                    <c:v>II</c:v>
                  </c:pt>
                  <c:pt idx="2">
                    <c:v>III</c:v>
                  </c:pt>
                  <c:pt idx="5">
                    <c:v>IV</c:v>
                  </c:pt>
                  <c:pt idx="8">
                    <c:v>V</c:v>
                  </c:pt>
                  <c:pt idx="11">
                    <c:v>VI</c:v>
                  </c:pt>
                  <c:pt idx="14">
                    <c:v>VII</c:v>
                  </c:pt>
                  <c:pt idx="17">
                    <c:v>VIII</c:v>
                  </c:pt>
                  <c:pt idx="20">
                    <c:v>IX</c:v>
                  </c:pt>
                  <c:pt idx="23">
                    <c:v>X</c:v>
                  </c:pt>
                  <c:pt idx="26">
                    <c:v>XI</c:v>
                  </c:pt>
                  <c:pt idx="29">
                    <c:v>XII</c:v>
                  </c:pt>
                </c:lvl>
              </c:multiLvlStrCache>
            </c:multiLvlStrRef>
          </c:cat>
          <c:val>
            <c:numRef>
              <c:f>Лист3!$C$100:$AH$100</c:f>
              <c:numCache>
                <c:formatCode>General</c:formatCode>
                <c:ptCount val="32"/>
                <c:pt idx="0">
                  <c:v>17</c:v>
                </c:pt>
                <c:pt idx="1">
                  <c:v>20</c:v>
                </c:pt>
                <c:pt idx="2">
                  <c:v>22</c:v>
                </c:pt>
                <c:pt idx="3">
                  <c:v>23</c:v>
                </c:pt>
                <c:pt idx="4">
                  <c:v>27</c:v>
                </c:pt>
                <c:pt idx="5">
                  <c:v>27</c:v>
                </c:pt>
                <c:pt idx="6">
                  <c:v>27</c:v>
                </c:pt>
                <c:pt idx="7">
                  <c:v>29</c:v>
                </c:pt>
                <c:pt idx="8">
                  <c:v>31</c:v>
                </c:pt>
                <c:pt idx="9">
                  <c:v>30</c:v>
                </c:pt>
                <c:pt idx="10">
                  <c:v>36</c:v>
                </c:pt>
                <c:pt idx="11">
                  <c:v>32</c:v>
                </c:pt>
                <c:pt idx="12">
                  <c:v>35</c:v>
                </c:pt>
                <c:pt idx="13">
                  <c:v>36</c:v>
                </c:pt>
                <c:pt idx="14">
                  <c:v>36</c:v>
                </c:pt>
                <c:pt idx="15">
                  <c:v>36</c:v>
                </c:pt>
                <c:pt idx="16">
                  <c:v>38</c:v>
                </c:pt>
                <c:pt idx="17">
                  <c:v>38</c:v>
                </c:pt>
                <c:pt idx="18">
                  <c:v>37</c:v>
                </c:pt>
                <c:pt idx="19">
                  <c:v>37</c:v>
                </c:pt>
                <c:pt idx="20">
                  <c:v>33</c:v>
                </c:pt>
                <c:pt idx="21">
                  <c:v>32</c:v>
                </c:pt>
                <c:pt idx="22">
                  <c:v>30</c:v>
                </c:pt>
                <c:pt idx="23">
                  <c:v>29</c:v>
                </c:pt>
                <c:pt idx="24">
                  <c:v>30</c:v>
                </c:pt>
                <c:pt idx="25">
                  <c:v>25</c:v>
                </c:pt>
                <c:pt idx="26">
                  <c:v>23</c:v>
                </c:pt>
                <c:pt idx="27">
                  <c:v>23</c:v>
                </c:pt>
                <c:pt idx="28">
                  <c:v>21</c:v>
                </c:pt>
                <c:pt idx="29">
                  <c:v>22</c:v>
                </c:pt>
                <c:pt idx="30">
                  <c:v>17</c:v>
                </c:pt>
                <c:pt idx="31">
                  <c:v>21</c:v>
                </c:pt>
              </c:numCache>
            </c:numRef>
          </c:val>
          <c:smooth val="0"/>
        </c:ser>
        <c:ser>
          <c:idx val="2"/>
          <c:order val="2"/>
          <c:tx>
            <c:strRef>
              <c:f>Лист3!$B$101</c:f>
              <c:strCache>
                <c:ptCount val="1"/>
                <c:pt idx="0">
                  <c:v>min</c:v>
                </c:pt>
              </c:strCache>
            </c:strRef>
          </c:tx>
          <c:spPr>
            <a:ln w="19050" cap="rnd">
              <a:solidFill>
                <a:srgbClr val="3E89CE"/>
              </a:solidFill>
              <a:prstDash val="solid"/>
              <a:round/>
            </a:ln>
            <a:effectLst/>
          </c:spPr>
          <c:marker>
            <c:symbol val="none"/>
          </c:marker>
          <c:trendline>
            <c:spPr>
              <a:ln w="38100" cap="rnd">
                <a:solidFill>
                  <a:schemeClr val="accent1">
                    <a:lumMod val="75000"/>
                  </a:schemeClr>
                </a:solidFill>
                <a:prstDash val="solid"/>
              </a:ln>
              <a:effectLst/>
            </c:spPr>
            <c:trendlineType val="poly"/>
            <c:order val="2"/>
            <c:dispRSqr val="0"/>
            <c:dispEq val="0"/>
          </c:trendline>
          <c:cat>
            <c:multiLvlStrRef>
              <c:f>Лист3!$C$97:$AH$98</c:f>
              <c:multiLvlStrCache>
                <c:ptCount val="32"/>
                <c:lvl>
                  <c:pt idx="2">
                    <c:v>1</c:v>
                  </c:pt>
                  <c:pt idx="3">
                    <c:v>2</c:v>
                  </c:pt>
                  <c:pt idx="4">
                    <c:v>3</c:v>
                  </c:pt>
                  <c:pt idx="5">
                    <c:v>1</c:v>
                  </c:pt>
                  <c:pt idx="6">
                    <c:v>2</c:v>
                  </c:pt>
                  <c:pt idx="7">
                    <c:v>3</c:v>
                  </c:pt>
                  <c:pt idx="8">
                    <c:v>1</c:v>
                  </c:pt>
                  <c:pt idx="9">
                    <c:v>2</c:v>
                  </c:pt>
                  <c:pt idx="10">
                    <c:v>3</c:v>
                  </c:pt>
                  <c:pt idx="11">
                    <c:v>1</c:v>
                  </c:pt>
                  <c:pt idx="12">
                    <c:v>2</c:v>
                  </c:pt>
                  <c:pt idx="13">
                    <c:v>3</c:v>
                  </c:pt>
                  <c:pt idx="14">
                    <c:v>1</c:v>
                  </c:pt>
                  <c:pt idx="15">
                    <c:v>2</c:v>
                  </c:pt>
                  <c:pt idx="16">
                    <c:v>3</c:v>
                  </c:pt>
                  <c:pt idx="17">
                    <c:v>1</c:v>
                  </c:pt>
                  <c:pt idx="18">
                    <c:v>2</c:v>
                  </c:pt>
                  <c:pt idx="19">
                    <c:v>3</c:v>
                  </c:pt>
                  <c:pt idx="20">
                    <c:v>1</c:v>
                  </c:pt>
                  <c:pt idx="21">
                    <c:v>2</c:v>
                  </c:pt>
                  <c:pt idx="22">
                    <c:v>3</c:v>
                  </c:pt>
                  <c:pt idx="23">
                    <c:v>1</c:v>
                  </c:pt>
                  <c:pt idx="24">
                    <c:v>2</c:v>
                  </c:pt>
                  <c:pt idx="25">
                    <c:v>3</c:v>
                  </c:pt>
                  <c:pt idx="26">
                    <c:v>1</c:v>
                  </c:pt>
                  <c:pt idx="27">
                    <c:v>2</c:v>
                  </c:pt>
                  <c:pt idx="28">
                    <c:v>3</c:v>
                  </c:pt>
                  <c:pt idx="29">
                    <c:v>1</c:v>
                  </c:pt>
                  <c:pt idx="30">
                    <c:v>2</c:v>
                  </c:pt>
                  <c:pt idx="31">
                    <c:v>3</c:v>
                  </c:pt>
                </c:lvl>
                <c:lvl>
                  <c:pt idx="0">
                    <c:v>I</c:v>
                  </c:pt>
                  <c:pt idx="1">
                    <c:v>II</c:v>
                  </c:pt>
                  <c:pt idx="2">
                    <c:v>III</c:v>
                  </c:pt>
                  <c:pt idx="5">
                    <c:v>IV</c:v>
                  </c:pt>
                  <c:pt idx="8">
                    <c:v>V</c:v>
                  </c:pt>
                  <c:pt idx="11">
                    <c:v>VI</c:v>
                  </c:pt>
                  <c:pt idx="14">
                    <c:v>VII</c:v>
                  </c:pt>
                  <c:pt idx="17">
                    <c:v>VIII</c:v>
                  </c:pt>
                  <c:pt idx="20">
                    <c:v>IX</c:v>
                  </c:pt>
                  <c:pt idx="23">
                    <c:v>X</c:v>
                  </c:pt>
                  <c:pt idx="26">
                    <c:v>XI</c:v>
                  </c:pt>
                  <c:pt idx="29">
                    <c:v>XII</c:v>
                  </c:pt>
                </c:lvl>
              </c:multiLvlStrCache>
            </c:multiLvlStrRef>
          </c:cat>
          <c:val>
            <c:numRef>
              <c:f>Лист3!$C$101:$AH$101</c:f>
              <c:numCache>
                <c:formatCode>General</c:formatCode>
                <c:ptCount val="32"/>
                <c:pt idx="0">
                  <c:v>-24</c:v>
                </c:pt>
                <c:pt idx="1">
                  <c:v>-20</c:v>
                </c:pt>
                <c:pt idx="2">
                  <c:v>-13</c:v>
                </c:pt>
                <c:pt idx="3">
                  <c:v>-9</c:v>
                </c:pt>
                <c:pt idx="4">
                  <c:v>-7</c:v>
                </c:pt>
                <c:pt idx="5">
                  <c:v>-5</c:v>
                </c:pt>
                <c:pt idx="6">
                  <c:v>0</c:v>
                </c:pt>
                <c:pt idx="7">
                  <c:v>0</c:v>
                </c:pt>
                <c:pt idx="8">
                  <c:v>3</c:v>
                </c:pt>
                <c:pt idx="9">
                  <c:v>3</c:v>
                </c:pt>
                <c:pt idx="10">
                  <c:v>1</c:v>
                </c:pt>
                <c:pt idx="11">
                  <c:v>8</c:v>
                </c:pt>
                <c:pt idx="12">
                  <c:v>8</c:v>
                </c:pt>
                <c:pt idx="13">
                  <c:v>9</c:v>
                </c:pt>
                <c:pt idx="14">
                  <c:v>12</c:v>
                </c:pt>
                <c:pt idx="15">
                  <c:v>11</c:v>
                </c:pt>
                <c:pt idx="16">
                  <c:v>12</c:v>
                </c:pt>
                <c:pt idx="17">
                  <c:v>12</c:v>
                </c:pt>
                <c:pt idx="18">
                  <c:v>11</c:v>
                </c:pt>
                <c:pt idx="19">
                  <c:v>10</c:v>
                </c:pt>
                <c:pt idx="20">
                  <c:v>6</c:v>
                </c:pt>
                <c:pt idx="21">
                  <c:v>6</c:v>
                </c:pt>
                <c:pt idx="22">
                  <c:v>-2</c:v>
                </c:pt>
                <c:pt idx="23">
                  <c:v>-2</c:v>
                </c:pt>
                <c:pt idx="24">
                  <c:v>-3</c:v>
                </c:pt>
                <c:pt idx="25">
                  <c:v>-6</c:v>
                </c:pt>
                <c:pt idx="26">
                  <c:v>-7</c:v>
                </c:pt>
                <c:pt idx="27">
                  <c:v>-12</c:v>
                </c:pt>
                <c:pt idx="28">
                  <c:v>-22</c:v>
                </c:pt>
                <c:pt idx="29">
                  <c:v>-10</c:v>
                </c:pt>
                <c:pt idx="30">
                  <c:v>-11</c:v>
                </c:pt>
                <c:pt idx="31">
                  <c:v>-19</c:v>
                </c:pt>
              </c:numCache>
            </c:numRef>
          </c:val>
          <c:smooth val="0"/>
        </c:ser>
        <c:dLbls>
          <c:showLegendKey val="0"/>
          <c:showVal val="0"/>
          <c:showCatName val="0"/>
          <c:showSerName val="0"/>
          <c:showPercent val="0"/>
          <c:showBubbleSize val="0"/>
        </c:dLbls>
        <c:smooth val="0"/>
        <c:axId val="-1755104944"/>
        <c:axId val="-1755092976"/>
      </c:lineChart>
      <c:catAx>
        <c:axId val="-1755104944"/>
        <c:scaling>
          <c:orientation val="minMax"/>
        </c:scaling>
        <c:delete val="0"/>
        <c:axPos val="b"/>
        <c:numFmt formatCode="General" sourceLinked="1"/>
        <c:majorTickMark val="out"/>
        <c:minorTickMark val="none"/>
        <c:tickLblPos val="nextTo"/>
        <c:spPr>
          <a:noFill/>
          <a:ln w="9525" cap="flat" cmpd="sng" algn="ctr">
            <a:solidFill>
              <a:schemeClr val="tx1">
                <a:lumMod val="65000"/>
                <a:lumOff val="3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755092976"/>
        <c:crosses val="autoZero"/>
        <c:auto val="1"/>
        <c:lblAlgn val="ctr"/>
        <c:lblOffset val="100"/>
        <c:noMultiLvlLbl val="0"/>
      </c:catAx>
      <c:valAx>
        <c:axId val="-1755092976"/>
        <c:scaling>
          <c:orientation val="minMax"/>
          <c:max val="40"/>
        </c:scaling>
        <c:delete val="0"/>
        <c:axPos val="l"/>
        <c:majorGridlines>
          <c:spPr>
            <a:ln w="9525" cap="flat" cmpd="sng" algn="ctr">
              <a:solidFill>
                <a:schemeClr val="bg1">
                  <a:lumMod val="50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crossAx val="-1755104944"/>
        <c:crosses val="autoZero"/>
        <c:crossBetween val="between"/>
        <c:majorUnit val="10"/>
      </c:valAx>
      <c:spPr>
        <a:noFill/>
        <a:ln>
          <a:noFill/>
        </a:ln>
        <a:effectLst/>
      </c:spPr>
    </c:plotArea>
    <c:legend>
      <c:legendPos val="b"/>
      <c:layout>
        <c:manualLayout>
          <c:xMode val="edge"/>
          <c:yMode val="edge"/>
          <c:x val="7.8134830113802581E-2"/>
          <c:y val="0.85134891789649636"/>
          <c:w val="0.9218651698861976"/>
          <c:h val="0.14269552642575933"/>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3">
            <a:lumMod val="0"/>
            <a:lumOff val="100000"/>
          </a:schemeClr>
        </a:gs>
        <a:gs pos="53000">
          <a:schemeClr val="accent3">
            <a:lumMod val="0"/>
            <a:lumOff val="100000"/>
          </a:schemeClr>
        </a:gs>
        <a:gs pos="100000">
          <a:schemeClr val="bg1">
            <a:lumMod val="85000"/>
          </a:schemeClr>
        </a:gs>
      </a:gsLst>
      <a:path path="circle">
        <a:fillToRect l="50000" t="-80000" r="50000" b="180000"/>
      </a:path>
      <a:tileRect/>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845045312732136E-2"/>
          <c:y val="0.14906605424321959"/>
          <c:w val="0.92006061506462633"/>
          <c:h val="0.82045946503878031"/>
        </c:manualLayout>
      </c:layout>
      <c:scatterChart>
        <c:scatterStyle val="lineMarker"/>
        <c:varyColors val="0"/>
        <c:ser>
          <c:idx val="0"/>
          <c:order val="0"/>
          <c:spPr>
            <a:ln w="19050" cap="rnd">
              <a:solidFill>
                <a:srgbClr val="009ED6"/>
              </a:solidFill>
              <a:round/>
            </a:ln>
            <a:effectLst/>
          </c:spPr>
          <c:marker>
            <c:symbol val="circle"/>
            <c:size val="5"/>
            <c:spPr>
              <a:solidFill>
                <a:schemeClr val="accent1"/>
              </a:solidFill>
              <a:ln w="9525">
                <a:solidFill>
                  <a:srgbClr val="009ED6"/>
                </a:solidFill>
              </a:ln>
              <a:effectLst/>
            </c:spPr>
          </c:marker>
          <c:trendline>
            <c:spPr>
              <a:ln w="38100" cap="rnd">
                <a:solidFill>
                  <a:srgbClr val="0078A2"/>
                </a:solidFill>
                <a:prstDash val="solid"/>
              </a:ln>
              <a:effectLst/>
            </c:spPr>
            <c:trendlineType val="poly"/>
            <c:order val="3"/>
            <c:dispRSqr val="0"/>
            <c:dispEq val="0"/>
          </c:trendline>
          <c:xVal>
            <c:numRef>
              <c:f>Лист3!$A$6:$A$43</c:f>
              <c:numCache>
                <c:formatCode>General</c:formatCode>
                <c:ptCount val="38"/>
                <c:pt idx="0">
                  <c:v>1977</c:v>
                </c:pt>
                <c:pt idx="1">
                  <c:v>1978</c:v>
                </c:pt>
                <c:pt idx="2">
                  <c:v>1979</c:v>
                </c:pt>
                <c:pt idx="3">
                  <c:v>1980</c:v>
                </c:pt>
                <c:pt idx="4">
                  <c:v>1981</c:v>
                </c:pt>
                <c:pt idx="5">
                  <c:v>1982</c:v>
                </c:pt>
                <c:pt idx="6">
                  <c:v>1983</c:v>
                </c:pt>
                <c:pt idx="7">
                  <c:v>1984</c:v>
                </c:pt>
                <c:pt idx="8">
                  <c:v>1985</c:v>
                </c:pt>
                <c:pt idx="9">
                  <c:v>1986</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numCache>
            </c:numRef>
          </c:xVal>
          <c:yVal>
            <c:numRef>
              <c:f>Лист3!$AL$6:$AL$43</c:f>
              <c:numCache>
                <c:formatCode>General</c:formatCode>
                <c:ptCount val="38"/>
                <c:pt idx="0">
                  <c:v>-18</c:v>
                </c:pt>
                <c:pt idx="1">
                  <c:v>-11</c:v>
                </c:pt>
                <c:pt idx="2">
                  <c:v>-13</c:v>
                </c:pt>
                <c:pt idx="3">
                  <c:v>-16</c:v>
                </c:pt>
                <c:pt idx="4">
                  <c:v>-4</c:v>
                </c:pt>
                <c:pt idx="5">
                  <c:v>-11</c:v>
                </c:pt>
                <c:pt idx="6">
                  <c:v>-13</c:v>
                </c:pt>
                <c:pt idx="7">
                  <c:v>-10</c:v>
                </c:pt>
                <c:pt idx="8">
                  <c:v>-15</c:v>
                </c:pt>
                <c:pt idx="9">
                  <c:v>-15</c:v>
                </c:pt>
                <c:pt idx="10">
                  <c:v>-16</c:v>
                </c:pt>
                <c:pt idx="11">
                  <c:v>-14</c:v>
                </c:pt>
                <c:pt idx="12">
                  <c:v>-16</c:v>
                </c:pt>
                <c:pt idx="13">
                  <c:v>-10</c:v>
                </c:pt>
                <c:pt idx="14">
                  <c:v>-22</c:v>
                </c:pt>
                <c:pt idx="15">
                  <c:v>-17</c:v>
                </c:pt>
                <c:pt idx="16">
                  <c:v>-11</c:v>
                </c:pt>
                <c:pt idx="17">
                  <c:v>-11</c:v>
                </c:pt>
                <c:pt idx="18">
                  <c:v>-19</c:v>
                </c:pt>
                <c:pt idx="19">
                  <c:v>-12</c:v>
                </c:pt>
                <c:pt idx="20">
                  <c:v>-8</c:v>
                </c:pt>
                <c:pt idx="21">
                  <c:v>-9</c:v>
                </c:pt>
                <c:pt idx="22">
                  <c:v>-10</c:v>
                </c:pt>
                <c:pt idx="23">
                  <c:v>-19</c:v>
                </c:pt>
                <c:pt idx="24">
                  <c:v>-12</c:v>
                </c:pt>
                <c:pt idx="25">
                  <c:v>-7</c:v>
                </c:pt>
                <c:pt idx="26">
                  <c:v>-12</c:v>
                </c:pt>
                <c:pt idx="27">
                  <c:v>-24</c:v>
                </c:pt>
                <c:pt idx="28">
                  <c:v>-12</c:v>
                </c:pt>
                <c:pt idx="29">
                  <c:v>-14</c:v>
                </c:pt>
                <c:pt idx="30">
                  <c:v>-13</c:v>
                </c:pt>
                <c:pt idx="31">
                  <c:v>-17</c:v>
                </c:pt>
                <c:pt idx="32">
                  <c:v>-11</c:v>
                </c:pt>
                <c:pt idx="33">
                  <c:v>-20</c:v>
                </c:pt>
                <c:pt idx="34">
                  <c:v>-9</c:v>
                </c:pt>
                <c:pt idx="35">
                  <c:v>-17</c:v>
                </c:pt>
                <c:pt idx="36">
                  <c:v>-19</c:v>
                </c:pt>
                <c:pt idx="37">
                  <c:v>-13</c:v>
                </c:pt>
              </c:numCache>
            </c:numRef>
          </c:yVal>
          <c:smooth val="0"/>
        </c:ser>
        <c:dLbls>
          <c:showLegendKey val="0"/>
          <c:showVal val="0"/>
          <c:showCatName val="0"/>
          <c:showSerName val="0"/>
          <c:showPercent val="0"/>
          <c:showBubbleSize val="0"/>
        </c:dLbls>
        <c:axId val="-1755103312"/>
        <c:axId val="-1755101136"/>
      </c:scatterChart>
      <c:valAx>
        <c:axId val="-1755103312"/>
        <c:scaling>
          <c:orientation val="minMax"/>
          <c:max val="2016"/>
          <c:min val="1977"/>
        </c:scaling>
        <c:delete val="0"/>
        <c:axPos val="b"/>
        <c:majorGridlines>
          <c:spPr>
            <a:ln w="9525" cap="flat" cmpd="sng" algn="ctr">
              <a:solidFill>
                <a:schemeClr val="bg1">
                  <a:lumMod val="65000"/>
                </a:schemeClr>
              </a:solidFill>
              <a:round/>
            </a:ln>
            <a:effectLst/>
          </c:spPr>
        </c:majorGridlines>
        <c:numFmt formatCode="General" sourceLinked="1"/>
        <c:majorTickMark val="none"/>
        <c:minorTickMark val="none"/>
        <c:tickLblPos val="high"/>
        <c:spPr>
          <a:noFill/>
          <a:ln w="9525" cap="flat" cmpd="sng" algn="ctr">
            <a:solidFill>
              <a:schemeClr val="tx1">
                <a:lumMod val="50000"/>
                <a:lumOff val="50000"/>
              </a:schemeClr>
            </a:solidFill>
            <a:round/>
          </a:ln>
          <a:effectLst/>
        </c:spPr>
        <c:txPr>
          <a:bodyPr rot="-5400000" spcFirstLastPara="1" vertOverflow="ellipsis" wrap="square" anchor="ctr" anchorCtr="0"/>
          <a:lstStyle/>
          <a:p>
            <a:pPr>
              <a:defRPr sz="1000" b="0" i="0" u="none" strike="noStrike" kern="1200" baseline="0">
                <a:solidFill>
                  <a:sysClr val="windowText" lastClr="000000"/>
                </a:solidFill>
                <a:latin typeface="+mn-lt"/>
                <a:ea typeface="+mn-ea"/>
                <a:cs typeface="+mn-cs"/>
              </a:defRPr>
            </a:pPr>
            <a:endParaRPr lang="ru-RU"/>
          </a:p>
        </c:txPr>
        <c:crossAx val="-1755101136"/>
        <c:crosses val="autoZero"/>
        <c:crossBetween val="midCat"/>
        <c:majorUnit val="1"/>
      </c:valAx>
      <c:valAx>
        <c:axId val="-1755101136"/>
        <c:scaling>
          <c:orientation val="minMax"/>
          <c:max val="-3"/>
          <c:min val="-25"/>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755103312"/>
        <c:crosses val="autoZero"/>
        <c:crossBetween val="midCat"/>
        <c:majorUnit val="2"/>
      </c:valAx>
      <c:spPr>
        <a:noFill/>
        <a:ln>
          <a:solidFill>
            <a:schemeClr val="bg1">
              <a:lumMod val="50000"/>
            </a:schemeClr>
          </a:solidFill>
        </a:ln>
        <a:effectLst/>
      </c:spPr>
    </c:plotArea>
    <c:plotVisOnly val="1"/>
    <c:dispBlanksAs val="gap"/>
    <c:showDLblsOverMax val="0"/>
  </c:chart>
  <c:spPr>
    <a:gradFill>
      <a:gsLst>
        <a:gs pos="0">
          <a:schemeClr val="accent3">
            <a:lumMod val="0"/>
            <a:lumOff val="100000"/>
          </a:schemeClr>
        </a:gs>
        <a:gs pos="67000">
          <a:schemeClr val="accent3">
            <a:lumMod val="0"/>
            <a:lumOff val="100000"/>
          </a:schemeClr>
        </a:gs>
        <a:gs pos="100000">
          <a:schemeClr val="bg1">
            <a:lumMod val="75000"/>
          </a:schemeClr>
        </a:gs>
      </a:gsLst>
      <a:path path="circle">
        <a:fillToRect l="50000" t="-80000" r="50000" b="180000"/>
      </a:path>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914260717410323E-2"/>
          <c:y val="5.1400554097404488E-2"/>
          <c:w val="0.86608573928258969"/>
          <c:h val="0.68947506561679794"/>
        </c:manualLayout>
      </c:layout>
      <c:scatterChart>
        <c:scatterStyle val="lineMarker"/>
        <c:varyColors val="0"/>
        <c:ser>
          <c:idx val="0"/>
          <c:order val="0"/>
          <c:tx>
            <c:strRef>
              <c:f>Лист1!$B$88</c:f>
              <c:strCache>
                <c:ptCount val="1"/>
                <c:pt idx="0">
                  <c:v>За год</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trendline>
            <c:spPr>
              <a:ln w="28575" cap="rnd">
                <a:solidFill>
                  <a:srgbClr val="0070C0"/>
                </a:solidFill>
                <a:prstDash val="solid"/>
              </a:ln>
              <a:effectLst/>
            </c:spPr>
            <c:trendlineType val="linear"/>
            <c:dispRSqr val="0"/>
            <c:dispEq val="0"/>
          </c:trendline>
          <c:xVal>
            <c:numRef>
              <c:f>Лист1!$A$89:$A$126</c:f>
              <c:numCache>
                <c:formatCode>General</c:formatCode>
                <c:ptCount val="38"/>
                <c:pt idx="0">
                  <c:v>1977</c:v>
                </c:pt>
                <c:pt idx="1">
                  <c:v>1978</c:v>
                </c:pt>
                <c:pt idx="2">
                  <c:v>1979</c:v>
                </c:pt>
                <c:pt idx="3">
                  <c:v>1980</c:v>
                </c:pt>
                <c:pt idx="4">
                  <c:v>1981</c:v>
                </c:pt>
                <c:pt idx="5">
                  <c:v>1982</c:v>
                </c:pt>
                <c:pt idx="6">
                  <c:v>1983</c:v>
                </c:pt>
                <c:pt idx="7">
                  <c:v>1984</c:v>
                </c:pt>
                <c:pt idx="8">
                  <c:v>1985</c:v>
                </c:pt>
                <c:pt idx="9">
                  <c:v>1986</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numCache>
            </c:numRef>
          </c:xVal>
          <c:yVal>
            <c:numRef>
              <c:f>Лист1!$B$89:$B$126</c:f>
              <c:numCache>
                <c:formatCode>General</c:formatCode>
                <c:ptCount val="38"/>
                <c:pt idx="0">
                  <c:v>414</c:v>
                </c:pt>
                <c:pt idx="1">
                  <c:v>616</c:v>
                </c:pt>
                <c:pt idx="2">
                  <c:v>452</c:v>
                </c:pt>
                <c:pt idx="3">
                  <c:v>480</c:v>
                </c:pt>
                <c:pt idx="4">
                  <c:v>977</c:v>
                </c:pt>
                <c:pt idx="5">
                  <c:v>519</c:v>
                </c:pt>
                <c:pt idx="6">
                  <c:v>381</c:v>
                </c:pt>
                <c:pt idx="7">
                  <c:v>384</c:v>
                </c:pt>
                <c:pt idx="8">
                  <c:v>585</c:v>
                </c:pt>
                <c:pt idx="9">
                  <c:v>294</c:v>
                </c:pt>
                <c:pt idx="10">
                  <c:v>372</c:v>
                </c:pt>
                <c:pt idx="11">
                  <c:v>483</c:v>
                </c:pt>
                <c:pt idx="12">
                  <c:v>661</c:v>
                </c:pt>
                <c:pt idx="13">
                  <c:v>599</c:v>
                </c:pt>
                <c:pt idx="14">
                  <c:v>347</c:v>
                </c:pt>
                <c:pt idx="15">
                  <c:v>409</c:v>
                </c:pt>
                <c:pt idx="16">
                  <c:v>629</c:v>
                </c:pt>
                <c:pt idx="17">
                  <c:v>556</c:v>
                </c:pt>
                <c:pt idx="18">
                  <c:v>686</c:v>
                </c:pt>
                <c:pt idx="19">
                  <c:v>673</c:v>
                </c:pt>
                <c:pt idx="20">
                  <c:v>589</c:v>
                </c:pt>
                <c:pt idx="21">
                  <c:v>723</c:v>
                </c:pt>
                <c:pt idx="22">
                  <c:v>612</c:v>
                </c:pt>
                <c:pt idx="23">
                  <c:v>652</c:v>
                </c:pt>
                <c:pt idx="24">
                  <c:v>622</c:v>
                </c:pt>
                <c:pt idx="25">
                  <c:v>602.20000000000005</c:v>
                </c:pt>
                <c:pt idx="26">
                  <c:v>459</c:v>
                </c:pt>
                <c:pt idx="27">
                  <c:v>572</c:v>
                </c:pt>
                <c:pt idx="28">
                  <c:v>491</c:v>
                </c:pt>
                <c:pt idx="29">
                  <c:v>428</c:v>
                </c:pt>
                <c:pt idx="30">
                  <c:v>487.3</c:v>
                </c:pt>
                <c:pt idx="31">
                  <c:v>604.20000000000005</c:v>
                </c:pt>
                <c:pt idx="32">
                  <c:v>482</c:v>
                </c:pt>
                <c:pt idx="33">
                  <c:v>425.00000000000006</c:v>
                </c:pt>
                <c:pt idx="34">
                  <c:v>722</c:v>
                </c:pt>
                <c:pt idx="35">
                  <c:v>634.29999999999995</c:v>
                </c:pt>
                <c:pt idx="36">
                  <c:v>474</c:v>
                </c:pt>
                <c:pt idx="37">
                  <c:v>560</c:v>
                </c:pt>
              </c:numCache>
            </c:numRef>
          </c:yVal>
          <c:smooth val="0"/>
        </c:ser>
        <c:ser>
          <c:idx val="1"/>
          <c:order val="1"/>
          <c:tx>
            <c:strRef>
              <c:f>Лист1!$C$88</c:f>
              <c:strCache>
                <c:ptCount val="1"/>
                <c:pt idx="0">
                  <c:v>Июль - сентябрь</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trendline>
            <c:spPr>
              <a:ln w="28575" cap="rnd">
                <a:solidFill>
                  <a:schemeClr val="accent2"/>
                </a:solidFill>
                <a:prstDash val="solid"/>
              </a:ln>
              <a:effectLst/>
            </c:spPr>
            <c:trendlineType val="linear"/>
            <c:dispRSqr val="0"/>
            <c:dispEq val="0"/>
          </c:trendline>
          <c:xVal>
            <c:numRef>
              <c:f>Лист1!$A$89:$A$126</c:f>
              <c:numCache>
                <c:formatCode>General</c:formatCode>
                <c:ptCount val="38"/>
                <c:pt idx="0">
                  <c:v>1977</c:v>
                </c:pt>
                <c:pt idx="1">
                  <c:v>1978</c:v>
                </c:pt>
                <c:pt idx="2">
                  <c:v>1979</c:v>
                </c:pt>
                <c:pt idx="3">
                  <c:v>1980</c:v>
                </c:pt>
                <c:pt idx="4">
                  <c:v>1981</c:v>
                </c:pt>
                <c:pt idx="5">
                  <c:v>1982</c:v>
                </c:pt>
                <c:pt idx="6">
                  <c:v>1983</c:v>
                </c:pt>
                <c:pt idx="7">
                  <c:v>1984</c:v>
                </c:pt>
                <c:pt idx="8">
                  <c:v>1985</c:v>
                </c:pt>
                <c:pt idx="9">
                  <c:v>1986</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pt idx="34">
                  <c:v>2013</c:v>
                </c:pt>
                <c:pt idx="35">
                  <c:v>2014</c:v>
                </c:pt>
                <c:pt idx="36">
                  <c:v>2015</c:v>
                </c:pt>
                <c:pt idx="37">
                  <c:v>2016</c:v>
                </c:pt>
              </c:numCache>
            </c:numRef>
          </c:xVal>
          <c:yVal>
            <c:numRef>
              <c:f>Лист1!$C$89:$C$126</c:f>
              <c:numCache>
                <c:formatCode>General</c:formatCode>
                <c:ptCount val="38"/>
                <c:pt idx="0">
                  <c:v>122</c:v>
                </c:pt>
                <c:pt idx="1">
                  <c:v>165</c:v>
                </c:pt>
                <c:pt idx="2">
                  <c:v>55</c:v>
                </c:pt>
                <c:pt idx="3">
                  <c:v>48</c:v>
                </c:pt>
                <c:pt idx="4">
                  <c:v>364</c:v>
                </c:pt>
                <c:pt idx="5">
                  <c:v>183</c:v>
                </c:pt>
                <c:pt idx="6">
                  <c:v>97</c:v>
                </c:pt>
                <c:pt idx="7">
                  <c:v>57</c:v>
                </c:pt>
                <c:pt idx="8">
                  <c:v>75</c:v>
                </c:pt>
                <c:pt idx="9">
                  <c:v>36</c:v>
                </c:pt>
                <c:pt idx="10">
                  <c:v>103</c:v>
                </c:pt>
                <c:pt idx="11">
                  <c:v>90</c:v>
                </c:pt>
                <c:pt idx="12">
                  <c:v>224</c:v>
                </c:pt>
                <c:pt idx="13">
                  <c:v>104</c:v>
                </c:pt>
                <c:pt idx="14">
                  <c:v>89</c:v>
                </c:pt>
                <c:pt idx="15">
                  <c:v>20</c:v>
                </c:pt>
                <c:pt idx="16">
                  <c:v>155</c:v>
                </c:pt>
                <c:pt idx="17">
                  <c:v>213</c:v>
                </c:pt>
                <c:pt idx="18">
                  <c:v>189</c:v>
                </c:pt>
                <c:pt idx="19">
                  <c:v>51</c:v>
                </c:pt>
                <c:pt idx="20">
                  <c:v>47</c:v>
                </c:pt>
                <c:pt idx="21">
                  <c:v>195</c:v>
                </c:pt>
                <c:pt idx="22">
                  <c:v>95</c:v>
                </c:pt>
                <c:pt idx="23">
                  <c:v>324</c:v>
                </c:pt>
                <c:pt idx="24">
                  <c:v>254</c:v>
                </c:pt>
                <c:pt idx="25">
                  <c:v>107</c:v>
                </c:pt>
                <c:pt idx="26">
                  <c:v>35</c:v>
                </c:pt>
                <c:pt idx="27">
                  <c:v>151</c:v>
                </c:pt>
                <c:pt idx="28">
                  <c:v>22</c:v>
                </c:pt>
                <c:pt idx="29">
                  <c:v>55</c:v>
                </c:pt>
                <c:pt idx="30">
                  <c:v>62.9</c:v>
                </c:pt>
                <c:pt idx="31">
                  <c:v>50.7</c:v>
                </c:pt>
                <c:pt idx="32">
                  <c:v>45</c:v>
                </c:pt>
                <c:pt idx="33">
                  <c:v>65.099999999999994</c:v>
                </c:pt>
                <c:pt idx="34">
                  <c:v>194</c:v>
                </c:pt>
                <c:pt idx="35">
                  <c:v>154.6</c:v>
                </c:pt>
                <c:pt idx="36">
                  <c:v>21</c:v>
                </c:pt>
                <c:pt idx="37">
                  <c:v>186</c:v>
                </c:pt>
              </c:numCache>
            </c:numRef>
          </c:yVal>
          <c:smooth val="0"/>
        </c:ser>
        <c:dLbls>
          <c:showLegendKey val="0"/>
          <c:showVal val="0"/>
          <c:showCatName val="0"/>
          <c:showSerName val="0"/>
          <c:showPercent val="0"/>
          <c:showBubbleSize val="0"/>
        </c:dLbls>
        <c:axId val="-1755093520"/>
        <c:axId val="-1755092432"/>
      </c:scatterChart>
      <c:valAx>
        <c:axId val="-1755093520"/>
        <c:scaling>
          <c:orientation val="minMax"/>
          <c:max val="2016"/>
          <c:min val="1977"/>
        </c:scaling>
        <c:delete val="0"/>
        <c:axPos val="b"/>
        <c:majorGridlines>
          <c:spPr>
            <a:ln w="9525" cap="flat" cmpd="sng" algn="ctr">
              <a:solidFill>
                <a:schemeClr val="accent3">
                  <a:lumMod val="60000"/>
                  <a:lumOff val="40000"/>
                </a:schemeClr>
              </a:solidFill>
              <a:round/>
            </a:ln>
            <a:effectLst/>
          </c:spPr>
        </c:majorGridlines>
        <c:numFmt formatCode="General" sourceLinked="1"/>
        <c:majorTickMark val="none"/>
        <c:minorTickMark val="none"/>
        <c:tickLblPos val="nextTo"/>
        <c:spPr>
          <a:noFill/>
          <a:ln w="9525" cap="flat" cmpd="sng" algn="ctr">
            <a:solidFill>
              <a:schemeClr val="accent3">
                <a:lumMod val="75000"/>
              </a:schemeClr>
            </a:solidFill>
            <a:round/>
          </a:ln>
          <a:effectLst/>
        </c:spPr>
        <c:txPr>
          <a:bodyPr rot="-60000000" spcFirstLastPara="1" vertOverflow="ellipsis" vert="horz" wrap="square" anchor="ctr" anchorCtr="1"/>
          <a:lstStyle/>
          <a:p>
            <a:pPr>
              <a:spcAft>
                <a:spcPts val="1200"/>
              </a:spcAft>
              <a:defRPr sz="1000" b="0" i="0" u="none" strike="noStrike" kern="1200" baseline="0">
                <a:solidFill>
                  <a:sysClr val="windowText" lastClr="000000"/>
                </a:solidFill>
                <a:latin typeface="+mn-lt"/>
                <a:ea typeface="+mn-ea"/>
                <a:cs typeface="+mn-cs"/>
              </a:defRPr>
            </a:pPr>
            <a:endParaRPr lang="ru-RU"/>
          </a:p>
        </c:txPr>
        <c:crossAx val="-1755092432"/>
        <c:crosses val="autoZero"/>
        <c:crossBetween val="midCat"/>
        <c:majorUnit val="3"/>
      </c:valAx>
      <c:valAx>
        <c:axId val="-1755092432"/>
        <c:scaling>
          <c:orientation val="minMax"/>
          <c:max val="1000"/>
        </c:scaling>
        <c:delete val="0"/>
        <c:axPos val="l"/>
        <c:majorGridlines>
          <c:spPr>
            <a:ln w="9525" cap="flat" cmpd="sng" algn="ctr">
              <a:solidFill>
                <a:schemeClr val="accent3">
                  <a:lumMod val="60000"/>
                  <a:lumOff val="40000"/>
                </a:schemeClr>
              </a:solidFill>
              <a:round/>
            </a:ln>
            <a:effectLst/>
          </c:spPr>
        </c:majorGridlines>
        <c:numFmt formatCode="General" sourceLinked="1"/>
        <c:majorTickMark val="none"/>
        <c:minorTickMark val="none"/>
        <c:tickLblPos val="nextTo"/>
        <c:spPr>
          <a:noFill/>
          <a:ln w="9525" cap="flat" cmpd="sng" algn="ctr">
            <a:solidFill>
              <a:schemeClr val="accent3">
                <a:lumMod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crossAx val="-1755093520"/>
        <c:crosses val="autoZero"/>
        <c:crossBetween val="midCat"/>
      </c:valAx>
      <c:spPr>
        <a:noFill/>
        <a:ln>
          <a:noFill/>
        </a:ln>
        <a:effectLst/>
      </c:spPr>
    </c:plotArea>
    <c:legend>
      <c:legendPos val="b"/>
      <c:layout>
        <c:manualLayout>
          <c:xMode val="edge"/>
          <c:yMode val="edge"/>
          <c:x val="0.13985977780174738"/>
          <c:y val="0.86110892388451443"/>
          <c:w val="0.85486930572034669"/>
          <c:h val="0.12037255759696705"/>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3">
            <a:lumMod val="0"/>
            <a:lumOff val="100000"/>
          </a:schemeClr>
        </a:gs>
        <a:gs pos="59000">
          <a:schemeClr val="accent3">
            <a:lumMod val="0"/>
            <a:lumOff val="100000"/>
          </a:schemeClr>
        </a:gs>
        <a:gs pos="100000">
          <a:schemeClr val="accent3">
            <a:lumMod val="60000"/>
            <a:lumOff val="40000"/>
          </a:schemeClr>
        </a:gs>
      </a:gsLst>
      <a:path path="circle">
        <a:fillToRect l="50000" t="-80000" r="50000" b="180000"/>
      </a:path>
      <a:tileRect/>
    </a:gradFill>
    <a:ln w="9525" cap="flat" cmpd="sng" algn="ctr">
      <a:gradFill flip="none" rotWithShape="1">
        <a:gsLst>
          <a:gs pos="0">
            <a:schemeClr val="accent1">
              <a:lumMod val="5000"/>
              <a:lumOff val="95000"/>
            </a:schemeClr>
          </a:gs>
          <a:gs pos="74000">
            <a:schemeClr val="bg1">
              <a:lumMod val="75000"/>
            </a:schemeClr>
          </a:gs>
          <a:gs pos="100000">
            <a:schemeClr val="accent1">
              <a:lumMod val="30000"/>
              <a:lumOff val="70000"/>
            </a:schemeClr>
          </a:gs>
        </a:gsLst>
        <a:lin ang="5400000" scaled="1"/>
        <a:tileRect/>
      </a:gra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9</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2016-12-21T12:14:00Z</dcterms:created>
  <dcterms:modified xsi:type="dcterms:W3CDTF">2016-12-21T12:14:00Z</dcterms:modified>
</cp:coreProperties>
</file>