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8" w:type="dxa"/>
        <w:tblLook w:val="04A0" w:firstRow="1" w:lastRow="0" w:firstColumn="1" w:lastColumn="0" w:noHBand="0" w:noVBand="1"/>
      </w:tblPr>
      <w:tblGrid>
        <w:gridCol w:w="4880"/>
        <w:gridCol w:w="4258"/>
      </w:tblGrid>
      <w:tr w:rsidR="005A60CE" w:rsidRPr="005A60CE" w:rsidTr="00D539E6">
        <w:trPr>
          <w:trHeight w:val="1343"/>
        </w:trPr>
        <w:tc>
          <w:tcPr>
            <w:tcW w:w="0" w:type="auto"/>
            <w:gridSpan w:val="2"/>
            <w:shd w:val="clear" w:color="auto" w:fill="auto"/>
          </w:tcPr>
          <w:p w:rsidR="005A60CE" w:rsidRPr="005A60CE" w:rsidRDefault="005A60CE" w:rsidP="005A60CE">
            <w:pPr>
              <w:spacing w:before="48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УДК 634.8:632.4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ВЛИЯНИЕ ПРЕПАРАТА «ДЕЗАВИД +» НА ПОДАВЛЕНИЕ </w:t>
            </w:r>
          </w:p>
          <w:p w:rsidR="005A60CE" w:rsidRPr="005A60CE" w:rsidRDefault="005A60CE" w:rsidP="005A60C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ОСНОВНЫХ</w:t>
            </w: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ФИТОПАТОГЕНОВ</w:t>
            </w: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ВИНОГРАДА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INFLUENCE OF PREPARATION "DEZAVID +" ON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A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SUPPRESSION OF MAIN GRAPE’S PHYTOPATHOGENIC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A60CE" w:rsidRPr="005A60CE" w:rsidTr="00D539E6">
        <w:trPr>
          <w:trHeight w:val="540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Н.О. Арестова, И.О. Рябчун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N.O. Arestova, I.O. Ryabchun</w:t>
            </w:r>
          </w:p>
        </w:tc>
      </w:tr>
      <w:tr w:rsidR="005A60CE" w:rsidRPr="005A60CE" w:rsidTr="00D539E6">
        <w:trPr>
          <w:trHeight w:val="1343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Всероссийский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исследовательский институт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виноградарства и виноделия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Я. И. Потапенко, Новочеркасск,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Россия.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All-Russian Research Ya.I.Potapenko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Institute for Viticulture and Winemaking. Novocherkassk, Russia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5A60C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A60CE" w:rsidRPr="005A60CE" w:rsidTr="00D539E6">
        <w:trPr>
          <w:trHeight w:val="540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Э.В. Перелетов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E.V. Pereletov 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60CE" w:rsidRPr="005A60CE" w:rsidTr="00D539E6">
        <w:trPr>
          <w:trHeight w:val="803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«Новые Дезтехнологии», г. Воронеж, Россия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dezavid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ndteh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 "New Deztechnology" Voronezh, Russia e-mail: dezavid@ndteh.ru</w:t>
            </w:r>
          </w:p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60CE" w:rsidRPr="005A60CE" w:rsidTr="00D539E6">
        <w:trPr>
          <w:trHeight w:val="1884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Аннотация.</w:t>
            </w:r>
            <w:r w:rsidRPr="005A6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результаты исследований по влиянию препарата «Дезавид+»  на подавление основных фитопатогенов виноградных насаждений. Отмечено его влияние на уменьшение распространенности милдью и подавление черной пятнистости и белой гнили</w:t>
            </w:r>
          </w:p>
          <w:p w:rsidR="005A60CE" w:rsidRPr="005A60CE" w:rsidRDefault="005A60CE" w:rsidP="005A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Summary.</w:t>
            </w:r>
            <w:r w:rsidRPr="005A6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results of studies on the effect of the drug "Dezavid +" on the suppression of plant basic pathogens of vineyards. Its impact on reducing of the spread and suppression of downy mildew and black spot of white rot was marked</w:t>
            </w:r>
          </w:p>
          <w:p w:rsidR="005A60CE" w:rsidRPr="005A60CE" w:rsidRDefault="005A60CE" w:rsidP="005A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60CE" w:rsidRPr="005A60CE" w:rsidTr="00D539E6">
        <w:trPr>
          <w:trHeight w:val="803"/>
        </w:trPr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слова: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виноград, фитопатогены, милдью, оидиум, черная пятнистость, белая гниль.</w:t>
            </w:r>
          </w:p>
        </w:tc>
        <w:tc>
          <w:tcPr>
            <w:tcW w:w="0" w:type="auto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Keywords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grapevine, phytopathogenes, downy mildew, mildew, </w:t>
            </w:r>
            <w:r w:rsidRPr="005A60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black spot,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white rot.</w:t>
            </w:r>
          </w:p>
        </w:tc>
      </w:tr>
    </w:tbl>
    <w:p w:rsidR="005A60CE" w:rsidRPr="005A60CE" w:rsidRDefault="005A60CE" w:rsidP="005A60CE">
      <w:pPr>
        <w:numPr>
          <w:ilvl w:val="12"/>
          <w:numId w:val="0"/>
        </w:num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b/>
          <w:sz w:val="30"/>
          <w:szCs w:val="30"/>
        </w:rPr>
        <w:t>Введение.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 Одной из актуальных проблем защиты растений на современном этапе является усовершенствование существующих защитных мероприятий, входящих в технологию возделывания культуры, повышение экологической безопасности и эффективности мер защиты. </w:t>
      </w:r>
      <w:r w:rsidRPr="005A60C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борьбы с фитопатогенами важно учитывать условия, способствующие накоплению, сохранению и возобновлению инфекции. При благоприятном сочетании условий наблюдается не только интенсивное размножение, но и высокая устойчивость и выживаемость вредных организмов. Если погодные условия неблагоприятны, то формируются слабо развивающиеся популяции с пониженной устойчивостью. 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Разный уровень поражаемости сортов винограда требует различных схем применения защитных мероприятий [1]. Быстрый процесс смены сортов, появление сортов с новыми свойствами </w:t>
      </w:r>
      <w:r w:rsidRPr="005A60C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оказывают глубокое воздействие на агроценозы в целом, в том числе на вредителей и болезней.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Сезонные болезни винограда вызываются возбудителями, преимущественно, грибного происхождения, которые развиваются в одной или нескольких генерациях и реагируют на препараты химического синтеза или средства биологического происхождения. Эффективность защитных мероприятий в большей степени зависит от своевременности их проведения, правильности выбранного срока обработки, схемы опрыскиваний с учетом свойств фунгицидов, инфекционного фона, антирезистентной стратегии применения препаратов. Современный ассортимент химических препаратов расширяется за счет появления аналогов отечественного производства, что дает возможность маневрировать в использовании средств защиты, отличающихся небольшими нормами расхода и умеренной токсической нагрузкой [2]. На основании вышеизложенного актуальными и обоснованными являются исследования по возможности применения нового препарата «Дезавид+» с минимальной токсической нагрузкой против основных фитопатогенов винограда.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b/>
          <w:sz w:val="30"/>
          <w:szCs w:val="30"/>
        </w:rPr>
        <w:t xml:space="preserve">Объекты и методы исследований. 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Для проведения исследований использовали мелкоделяночный опыт с виноградными насаждениями районированного сорта Каберне Совиньон, восприимчивыми к основным фитопатогенам. Кусты исследуемого сорта укрывные, имеют длиннорукавную форму. 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Опыт включает вариант с применением традиционных фунгицидов (1), три варианта разных концентраций препарата «Дезавид +» (варианты 2, 3, 4), и контрольный вариант, не предусматривающий каких-либо обработок. Норма расхода рабочего раствора на обработку одного куста одинакова для всех вариантов. Вариант включает 10 кустомест в трехкратной повторности. Опрыскивание осуществляли ручным опрыскивателем и производили до 10 часов утра, чтобы исключить влияние солнечной инсоляции на эффективность испытываемого препарата.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Перед первой обработкой препаратами определяли фитосанитарное состояние насаждений, фиксируя каждое из заболеваний в баллах. Следующие определения фитосанитарного состояния кустов производили на 5–7 день после обработки и перед очередным опрыскиванием, используя 5- балльную шкалу.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Схема опыта включает применение препаратов как в чередовании друг с другом, так и их баковых смесей (табл. 1).</w:t>
      </w:r>
    </w:p>
    <w:p w:rsidR="005A60CE" w:rsidRPr="005A60CE" w:rsidRDefault="005A60CE" w:rsidP="005A60C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60C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Схема опыта по определению эффективности схем защиты против фитопатогенов (сорт Каберне Совиньон), 2016 г.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1701"/>
      </w:tblGrid>
      <w:tr w:rsidR="005A60CE" w:rsidRPr="005A60CE" w:rsidTr="00D539E6">
        <w:tc>
          <w:tcPr>
            <w:tcW w:w="1134" w:type="dxa"/>
            <w:vMerge w:val="restart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Вариант опыта</w:t>
            </w:r>
          </w:p>
        </w:tc>
        <w:tc>
          <w:tcPr>
            <w:tcW w:w="7938" w:type="dxa"/>
            <w:gridSpan w:val="5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Фаза развития винограда /применяемый препарат</w:t>
            </w:r>
          </w:p>
        </w:tc>
      </w:tr>
      <w:tr w:rsidR="005A60CE" w:rsidRPr="005A60CE" w:rsidTr="00D539E6">
        <w:trPr>
          <w:trHeight w:val="526"/>
        </w:trPr>
        <w:tc>
          <w:tcPr>
            <w:tcW w:w="1134" w:type="dxa"/>
            <w:vMerge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распускания глазков, 14.04</w:t>
            </w: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до цветения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цветения 23.06</w:t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рост ягод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</w:p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окрашивания ягод 8.08</w:t>
            </w:r>
          </w:p>
        </w:tc>
      </w:tr>
      <w:tr w:rsidR="005A60CE" w:rsidRPr="005A60CE" w:rsidTr="00D539E6">
        <w:tc>
          <w:tcPr>
            <w:tcW w:w="1134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Курзат</w:t>
            </w: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Полирам ДФ + Фалькон</w:t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Танос + Кумулус</w:t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Полирам ДФ + Фалькон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Полирам ДФ + Кумулус</w:t>
            </w:r>
          </w:p>
        </w:tc>
      </w:tr>
      <w:tr w:rsidR="005A60CE" w:rsidRPr="005A60CE" w:rsidTr="00D539E6">
        <w:tc>
          <w:tcPr>
            <w:tcW w:w="1134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(1,0%)</w:t>
            </w: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(1,0%)</w:t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(1,0%)</w:t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(1,0%)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(1,0%)</w:t>
            </w:r>
          </w:p>
        </w:tc>
      </w:tr>
      <w:tr w:rsidR="005A60CE" w:rsidRPr="005A60CE" w:rsidTr="00D539E6">
        <w:tc>
          <w:tcPr>
            <w:tcW w:w="1134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(3,0%)</w:t>
            </w: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(3,0%)</w:t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(3,0%)</w:t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(3,0%)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(3,0%)</w:t>
            </w:r>
          </w:p>
        </w:tc>
      </w:tr>
      <w:tr w:rsidR="005A60CE" w:rsidRPr="005A60CE" w:rsidTr="00D539E6">
        <w:tc>
          <w:tcPr>
            <w:tcW w:w="1134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(5,0%)</w:t>
            </w: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(5,0%)</w:t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(5,0%)</w:t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>(5,0%)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Дезавид 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(5,0%)</w:t>
            </w:r>
          </w:p>
        </w:tc>
      </w:tr>
      <w:tr w:rsidR="005A60CE" w:rsidRPr="005A60CE" w:rsidTr="00D539E6">
        <w:tc>
          <w:tcPr>
            <w:tcW w:w="1134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0CE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559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C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</w:tr>
    </w:tbl>
    <w:p w:rsidR="005A60CE" w:rsidRPr="005A60CE" w:rsidRDefault="005A60CE" w:rsidP="005A60C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Подбор фунгицидов и составление схем их применения проводился на основании особенностей их действия на возбудителей болезней, с учетом погодных условий, фаз развития винограда. Представленные опытные схемы защиты основаны на применении химических препаратов, обладающих широким спектром защитного действия, профилактическими и лечебными свойствами.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Курзат (меди хлорокись+ цимоксанил) – органический фунгицид контактного действия, отличается длительным защитным периодом, норма расхода 1,5–2,5 кг/га. Полирам ДФ (метирам) – контактный фунгицид защитного действия против грибов, относящихся к группе пероноспоровых, норма расхода 2,5–3 кг/га. Танос (фамоксадон + цимоксанил) – системный фунгицид против милдью, норма расхода 0,4 кг/га. Фалькон (спироксамин + тебуконазол + триадименол) – системный фунгицид против оидиума, норма расхода 0,4 кг/га. Кумулус ДФ (сера) -фунгицид защитного и лечебного действия против оидиума, обладает акарицидным свойством, 6–8/ кг/га. Дезавид + – бактерицидный препарат на основе гуанидиновой группы</w:t>
      </w:r>
      <w:r w:rsidRPr="005A60C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(полигексаметиленгуанидин гидрохлорид), обладающий также фунгицидными свойствами.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Важную роль в возникновении заболеваний, характере их распространения и развития играют абиотические элементы внешней среды – климат, метеорологические условия. Они являются доминирующим фактором, в зависимости от которого ежегодно варьирует развитие вредных организмов.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b/>
          <w:sz w:val="30"/>
          <w:szCs w:val="30"/>
        </w:rPr>
        <w:t>Обсуждение результатов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. Исследования проводились в течение 2015, 2016 гг. Метеорологические условия в эти периоды отличались по влиянию на развитие фитопатогенов: в 2015 г. они препятствовали их развитию, способствуя депрессии, в 2016 г., наоборот, способствовали развитию и распространению основных микозов, вызвав, в частности, эпифитотию милдью и белой гнили. Поэтому считаем возможным </w:t>
      </w:r>
      <w:r w:rsidRPr="005A60C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проведение оценки воздействия препарата «Дезавид+» на фитопатогены по результатам исследований в 2016 г.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Метеоусловия периода покоя 2015–2016 гг. характеризовались относительно теплой погодой с меньшей суммой отрицательных температур: на 36,2</w:t>
      </w:r>
      <w:r w:rsidRPr="005A60CE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о </w:t>
      </w:r>
      <w:r w:rsidRPr="005A60CE">
        <w:rPr>
          <w:rFonts w:ascii="Times New Roman" w:eastAsia="Calibri" w:hAnsi="Times New Roman" w:cs="Times New Roman"/>
          <w:sz w:val="30"/>
          <w:szCs w:val="30"/>
        </w:rPr>
        <w:t>С по сравнению со среднемноголетними значениями. Осадков в период покоя выпало на 108 мм больше средних значений. Это способствовало сохранению инфекционного начала в условиях виноградных ампелоценозов.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В период вегетации 2016 г. температурные условия были на уровне среднемноголетних значений (май) или выше в остальные месяцы. Сумма активных температур летом превышала среднемноголетние значения на 234,7</w:t>
      </w:r>
      <w:r w:rsidRPr="005A60CE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о 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С.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Осадки выпадали неравномерно: в апреле, июне и августе их количество было меньше средних значений в 1, 2, … 9,6 раза, в мае июле, сентябре превышало норму в 1,5…3,3 раза (рис. 1). 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79720" cy="1864360"/>
            <wp:effectExtent l="0" t="0" r="0" b="254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Рис. 1. Суммарное количество осадков, выпавших в период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вегетации 2016 г. по сравнению со среднемноголетними значениями</w:t>
      </w:r>
    </w:p>
    <w:p w:rsidR="005A60CE" w:rsidRPr="005A60CE" w:rsidRDefault="005A60CE" w:rsidP="005A60CE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Такие метеорологические условия способствовали развитию фитопатогенов, особенно милдью и белой гнили, первые признаки которых появились в третьей декаде июня- начале июля (табл. 2). </w:t>
      </w:r>
    </w:p>
    <w:p w:rsidR="005A60CE" w:rsidRPr="005A60CE" w:rsidRDefault="005A60CE" w:rsidP="005A60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60C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 xml:space="preserve">Интенсивность развития фитопатогенов на зеленых органах растений </w:t>
      </w:r>
    </w:p>
    <w:p w:rsidR="005A60CE" w:rsidRPr="005A60CE" w:rsidRDefault="005A60CE" w:rsidP="005A60C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27 июня 2016 г., сорт Каберне Совиньон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559"/>
        <w:gridCol w:w="1134"/>
      </w:tblGrid>
      <w:tr w:rsidR="005A60CE" w:rsidRPr="005A60CE" w:rsidTr="00D539E6">
        <w:trPr>
          <w:trHeight w:val="811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Милдью (лист), балл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Оидиум (лист, побег), балл</w:t>
            </w:r>
          </w:p>
        </w:tc>
        <w:tc>
          <w:tcPr>
            <w:tcW w:w="1559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</w:t>
            </w:r>
          </w:p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пятнистость (побег), балл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гниль (ягоды), балл</w:t>
            </w:r>
          </w:p>
        </w:tc>
      </w:tr>
      <w:tr w:rsidR="005A60CE" w:rsidRPr="005A60CE" w:rsidTr="00D539E6">
        <w:trPr>
          <w:trHeight w:val="202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Курзат-Полирам ДФ + Фалькон- Танос + Кумулус- Ридомил Голд МЦ + Фалькон- Полирам ДФ + Кумулус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0CE" w:rsidRPr="005A60CE" w:rsidTr="00D539E6">
        <w:trPr>
          <w:trHeight w:val="533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A60CE" w:rsidRPr="005A60CE" w:rsidTr="00D539E6">
        <w:trPr>
          <w:trHeight w:val="544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A60CE" w:rsidRPr="005A60CE" w:rsidTr="00D539E6">
        <w:trPr>
          <w:trHeight w:val="544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(5,0%)- Дезавид 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A60CE" w:rsidRPr="005A60CE" w:rsidTr="00D539E6">
        <w:trPr>
          <w:trHeight w:val="141"/>
          <w:jc w:val="center"/>
        </w:trPr>
        <w:tc>
          <w:tcPr>
            <w:tcW w:w="4106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 без опрыскивания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5A60CE" w:rsidRPr="005A60CE" w:rsidRDefault="005A60CE" w:rsidP="005A6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5A60CE" w:rsidRPr="005A60CE" w:rsidRDefault="005A60CE" w:rsidP="005A60CE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Наибольшая интенсивность развития милдью наблюдалась на листьях, а на ягодах – белая гниль (рис. 2, 3).  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257425" cy="1800225"/>
            <wp:effectExtent l="0" t="0" r="9525" b="9525"/>
            <wp:docPr id="41" name="Рисунок 41" descr="D:\Мои документы\фото ОП 2012-2013\DSC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фото ОП 2012-2013\DSC00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t="4457" r="18912" b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CE" w:rsidRPr="005A60CE" w:rsidRDefault="005A60CE" w:rsidP="005A60C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Рис. 2. Поражение листьев: милдью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396"/>
      </w:tblGrid>
      <w:tr w:rsidR="005A60CE" w:rsidRPr="005A60CE" w:rsidTr="00D539E6">
        <w:tc>
          <w:tcPr>
            <w:tcW w:w="4643" w:type="dxa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52675" cy="1600200"/>
                  <wp:effectExtent l="0" t="0" r="9525" b="0"/>
                  <wp:docPr id="40" name="Рисунок 40" descr="F:\Фото 2016\DSC0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Фото 2016\DSC0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6" t="17368" r="12395" b="18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</w:tcPr>
          <w:p w:rsidR="005A60CE" w:rsidRPr="005A60CE" w:rsidRDefault="005A60CE" w:rsidP="005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C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419350" cy="1581150"/>
                  <wp:effectExtent l="0" t="0" r="0" b="0"/>
                  <wp:docPr id="39" name="Рисунок 39" descr="D:\Мои документы\фото ОП 2012-2013\DSC0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енты\фото ОП 2012-2013\DSC0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3" t="30573" r="2724" b="1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0CE" w:rsidRPr="005A60CE" w:rsidRDefault="005A60CE" w:rsidP="005A60C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Calibri" w:eastAsia="Calibri" w:hAnsi="Calibri" w:cs="Times New Roman"/>
          <w:sz w:val="24"/>
          <w:szCs w:val="24"/>
        </w:rPr>
        <w:tab/>
      </w:r>
      <w:r w:rsidRPr="005A60C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:rsidR="005A60CE" w:rsidRPr="005A60CE" w:rsidRDefault="005A60CE" w:rsidP="005A6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Рис. 3. Поражение зеленых (а) и зрелых ягод (</w:t>
      </w:r>
      <w:r w:rsidRPr="005A6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5A60CE">
        <w:rPr>
          <w:rFonts w:ascii="Times New Roman" w:eastAsia="Calibri" w:hAnsi="Times New Roman" w:cs="Times New Roman"/>
          <w:b/>
          <w:sz w:val="24"/>
          <w:szCs w:val="24"/>
        </w:rPr>
        <w:t>) белой гнилью</w:t>
      </w:r>
    </w:p>
    <w:p w:rsidR="005A60CE" w:rsidRPr="005A60CE" w:rsidRDefault="005A60CE" w:rsidP="005A60C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Осадки, выпавшие в июле, способствовали дальнейшему распространению микозов, интенсивность развития которых различалась по вариантам (рис. 4).</w:t>
      </w:r>
    </w:p>
    <w:p w:rsidR="005A60CE" w:rsidRPr="005A60CE" w:rsidRDefault="005A60CE" w:rsidP="005A60C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</w:pPr>
      <w:r w:rsidRPr="005A60CE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610225" cy="3322320"/>
            <wp:effectExtent l="0" t="0" r="9525" b="1143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60CE" w:rsidRPr="005A60CE" w:rsidRDefault="005A60CE" w:rsidP="005A6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 xml:space="preserve">Рис. 4. Интенсивность развития фитопатогенов на различных органах растений 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28 июля 2016 г., сорт Каберне Совиньон</w:t>
      </w:r>
    </w:p>
    <w:p w:rsidR="005A60CE" w:rsidRPr="005A60CE" w:rsidRDefault="005A60CE" w:rsidP="005A60C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В вариантах с использованием «Дезавид +» (2, 3,4) наибольший защитный эффект от милдью наблюдался в варианте с концентрацией препарата 5%. Защитный эффект при использовании препарата «Дезавид +» от черной пятнистости и белой гнили в исследуемых концентрациях больше, чем в контроле, но меньше, чем в 1 варианте с применением традиционных фунгицидов.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Дальнейшие обследования не выявили проявления фитотоксичности «Дезавид+» на виноградных растениях даже при максимальной концентрации препарата (5%). </w:t>
      </w:r>
    </w:p>
    <w:p w:rsidR="005A60CE" w:rsidRPr="005A60CE" w:rsidRDefault="005A60CE" w:rsidP="005A6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>Биологическая эффективность традиционной системы защиты от милдью (1 вариант) была высокой (71%). Величина биологической эффективности препарата «Дезавид+» в 4 варианте (63%) считается достаточно высокой, особенно в случае эпифитотий, во 2 и 3 вариантах (26–37%) защита недостаточно надежна (рис. 5).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790565" cy="3074670"/>
            <wp:effectExtent l="0" t="0" r="635" b="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A60CE">
        <w:rPr>
          <w:rFonts w:ascii="Times New Roman" w:eastAsia="Calibri" w:hAnsi="Times New Roman" w:cs="Times New Roman"/>
          <w:b/>
          <w:sz w:val="24"/>
          <w:szCs w:val="24"/>
        </w:rPr>
        <w:t>Рис. 5. Биологическая эффективность препарата «Дезавид+»</w:t>
      </w:r>
    </w:p>
    <w:p w:rsidR="005A60CE" w:rsidRPr="005A60CE" w:rsidRDefault="005A60CE" w:rsidP="005A6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0CE">
        <w:rPr>
          <w:rFonts w:ascii="Times New Roman" w:eastAsia="Calibri" w:hAnsi="Times New Roman" w:cs="Times New Roman"/>
          <w:b/>
          <w:sz w:val="24"/>
          <w:szCs w:val="24"/>
        </w:rPr>
        <w:t>против милдью, черной пятнистости, белой гнили</w:t>
      </w:r>
    </w:p>
    <w:p w:rsidR="005A60CE" w:rsidRPr="005A60CE" w:rsidRDefault="005A60CE" w:rsidP="005A60C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Эффективность химических препаратов против белой гнили во всех вариантах низкая (13–42%), т.к. против гнилей рекомендуют специальные фунгициды. Химические препараты против черной пятнистости (1 вариант) показали недостаточно надежную эффективность (52%), а варианты с препаратом Дезавид+ еще ниже, независимо от концентрации (13–35%). </w:t>
      </w:r>
    </w:p>
    <w:p w:rsidR="005A60CE" w:rsidRPr="005A60CE" w:rsidRDefault="005A60CE" w:rsidP="005A60C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A60CE">
        <w:rPr>
          <w:rFonts w:ascii="Times New Roman" w:eastAsia="Calibri" w:hAnsi="Times New Roman" w:cs="Times New Roman"/>
          <w:b/>
          <w:sz w:val="30"/>
          <w:szCs w:val="30"/>
        </w:rPr>
        <w:t xml:space="preserve">Выводы. </w:t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В период вегетации 2016 г. наблюдались благоприятные для развития пикнид и спороношения фитопатогенов метеорологические условия </w:t>
      </w:r>
      <w:r w:rsidRPr="005A60CE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 умеренная и высокая температура и неравномерное выпадение осадков, что вызвало развитие и распространение основных микозов.</w:t>
      </w:r>
    </w:p>
    <w:p w:rsidR="005A60CE" w:rsidRPr="005A60CE" w:rsidRDefault="005A60CE" w:rsidP="005A60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0CE">
        <w:rPr>
          <w:rFonts w:ascii="Times New Roman" w:eastAsia="Calibri" w:hAnsi="Times New Roman" w:cs="Times New Roman"/>
          <w:sz w:val="30"/>
          <w:szCs w:val="30"/>
        </w:rPr>
        <w:t xml:space="preserve">Наибольший вред виноградникам в вегетацию 2016 г. принесли заболевания милдью и белой гнилью. Исследования показали, что наиболее эффективными схемами защиты от милдью были варианты с применением традиционных фунгицидов и препарата «Дезавид+» в концентрации 5% (1,4). Варианты с применением препарата «Дезавид +» в концентрациях 1 и 3% (2,3) были недостаточно эффективны против милдью, хотя по показателю биологической эффективности были выше, чем контрольный вариант. </w:t>
      </w:r>
    </w:p>
    <w:p w:rsidR="005A60CE" w:rsidRPr="005A60CE" w:rsidRDefault="005A60CE" w:rsidP="005A60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CE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Эффективность препарата «Дезавид+» против белой гнили, независимо от используемых концентраций, была низкая, так же, как и в вариантах с традиционными фунгицидами, не направленными на борьбу с этим фитопатогеном.</w:t>
      </w:r>
    </w:p>
    <w:p w:rsidR="005A60CE" w:rsidRPr="005A60CE" w:rsidRDefault="005A60CE" w:rsidP="005A60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Защитные мероприятия против черной пятнистости показали среднюю эффективность при использовании традиционных препаратов и слабую – препарата «Дезавид+» в исследуемых концентрациях.</w:t>
      </w:r>
    </w:p>
    <w:p w:rsidR="005A60CE" w:rsidRPr="005A60CE" w:rsidRDefault="005A60CE" w:rsidP="005A60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 как препарат «Дезавид+» в концентрации 5% показал достаточно высокую эффективность в борьбе против милдью, рекомендуем его использовать в защитных мероприятиях, особенно в последних турах из-за его доказанной экологической безопасности. </w:t>
      </w:r>
    </w:p>
    <w:p w:rsidR="005A60CE" w:rsidRPr="005A60CE" w:rsidRDefault="005A60CE" w:rsidP="005A60CE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0CE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5A60CE" w:rsidRPr="005A60CE" w:rsidRDefault="005A60CE" w:rsidP="005A60C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Талаш, А.И. Адаптивно- интегрированная ресурсосберегающая система защиты винограда от вредителей и болезней / А.И. Талаш, А.Б. Евдокимов // Разработки, формирующие современный облик виноградарства. – Краснодар, 2011. – С. 163–252.</w:t>
      </w:r>
    </w:p>
    <w:p w:rsidR="00FD7B51" w:rsidRPr="001876F8" w:rsidRDefault="005A60CE" w:rsidP="005A60CE">
      <w:r w:rsidRPr="005A60CE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r w:rsidRPr="005A60CE">
        <w:rPr>
          <w:rFonts w:ascii="Times New Roman" w:eastAsia="Calibri" w:hAnsi="Times New Roman" w:cs="Times New Roman"/>
          <w:sz w:val="24"/>
          <w:szCs w:val="24"/>
        </w:rPr>
        <w:t xml:space="preserve">Арестова, Н.О. Возможность применения биологически активных веществ для уменьшения пестицидной нагрузки на виноградниках / Н.О. Арестова, И.О. Рябчун </w:t>
      </w:r>
      <w:r w:rsidRPr="005A60C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5A60CE">
        <w:rPr>
          <w:rFonts w:ascii="Times New Roman" w:eastAsia="Calibri" w:hAnsi="Times New Roman" w:cs="Times New Roman"/>
          <w:sz w:val="24"/>
          <w:szCs w:val="24"/>
        </w:rPr>
        <w:t>/ Инновационные технологии и тенденции в развитии и формировании виноградарства и виноделия: мат-лы. межд. науч.- практич. конф. посв. 90- летию образования ГНУ Анапская зональная опытная станция виноградарства и виноделия СКЗНИИСиВ Россельхозакадемии и 75-летию со дня рождения д. с.-х. н., лауреата Гос. премии России Н.Н. Перова. – Анапа, 2013. – С.77–80.</w:t>
      </w:r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CC" w:rsidRDefault="00764CCC" w:rsidP="00B50365">
      <w:pPr>
        <w:spacing w:after="0" w:line="240" w:lineRule="auto"/>
      </w:pPr>
      <w:r>
        <w:separator/>
      </w:r>
    </w:p>
  </w:endnote>
  <w:endnote w:type="continuationSeparator" w:id="0">
    <w:p w:rsidR="00764CCC" w:rsidRDefault="00764CCC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CC" w:rsidRDefault="00764CCC" w:rsidP="00B50365">
      <w:pPr>
        <w:spacing w:after="0" w:line="240" w:lineRule="auto"/>
      </w:pPr>
      <w:r>
        <w:separator/>
      </w:r>
    </w:p>
  </w:footnote>
  <w:footnote w:type="continuationSeparator" w:id="0">
    <w:p w:rsidR="00764CCC" w:rsidRDefault="00764CCC" w:rsidP="00B5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1142C9"/>
    <w:rsid w:val="001876F8"/>
    <w:rsid w:val="00213336"/>
    <w:rsid w:val="00240649"/>
    <w:rsid w:val="00294AB7"/>
    <w:rsid w:val="002B2CF9"/>
    <w:rsid w:val="003B4FAE"/>
    <w:rsid w:val="00447A93"/>
    <w:rsid w:val="004A7AFD"/>
    <w:rsid w:val="005A60CE"/>
    <w:rsid w:val="006C4562"/>
    <w:rsid w:val="00764CCC"/>
    <w:rsid w:val="00800A08"/>
    <w:rsid w:val="00A33202"/>
    <w:rsid w:val="00B1021A"/>
    <w:rsid w:val="00B50365"/>
    <w:rsid w:val="00BD5EEF"/>
    <w:rsid w:val="00C6437B"/>
    <w:rsid w:val="00F17722"/>
    <w:rsid w:val="00F54AE4"/>
    <w:rsid w:val="00F96035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hyperlink" Target="mailto:ruswine@yandex.ru" TargetMode="External"/><Relationship Id="rId12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wine@yandex.r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6;&#1080;&#1089;.%20&#1082;%20&#1086;&#1090;&#1095;.%20&#1079;&#1072;%202014,%2020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6;&#1080;&#1089;&#1091;&#1085;&#1082;&#1080;%20&#1082;%20&#1089;&#1090;.%20&#1087;&#1086;%20&#1044;&#1077;&#1079;&#1072;&#1074;&#1080;&#1076;&#1091;,%202016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6;&#1080;&#1089;&#1091;&#1085;&#1082;&#1080;%20&#1082;%20&#1089;&#1090;.%20&#1087;&#1086;%20&#1044;&#1077;&#1079;&#1072;&#1074;&#1080;&#1076;&#1091;,%202016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571741032371027E-2"/>
          <c:y val="5.1400554097404488E-2"/>
          <c:w val="0.85077690288713914"/>
          <c:h val="0.841292544976088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Лист4!$B$13</c:f>
              <c:strCache>
                <c:ptCount val="1"/>
                <c:pt idx="0">
                  <c:v>месячная норма </c:v>
                </c:pt>
              </c:strCache>
            </c:strRef>
          </c:tx>
          <c:invertIfNegative val="0"/>
          <c:cat>
            <c:strRef>
              <c:f>Лист4!$A$14:$A$19</c:f>
              <c:strCache>
                <c:ptCount val="6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</c:strCache>
            </c:strRef>
          </c:cat>
          <c:val>
            <c:numRef>
              <c:f>Лист4!$B$14:$B$19</c:f>
              <c:numCache>
                <c:formatCode>General</c:formatCode>
                <c:ptCount val="6"/>
                <c:pt idx="0">
                  <c:v>11.3</c:v>
                </c:pt>
                <c:pt idx="1">
                  <c:v>165</c:v>
                </c:pt>
                <c:pt idx="2">
                  <c:v>47.8</c:v>
                </c:pt>
                <c:pt idx="3">
                  <c:v>87.6</c:v>
                </c:pt>
                <c:pt idx="4">
                  <c:v>4.3</c:v>
                </c:pt>
                <c:pt idx="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Лист4!$C$13</c:f>
              <c:strCache>
                <c:ptCount val="1"/>
                <c:pt idx="0">
                  <c:v>среднемноголетняя</c:v>
                </c:pt>
              </c:strCache>
            </c:strRef>
          </c:tx>
          <c:invertIfNegative val="0"/>
          <c:cat>
            <c:strRef>
              <c:f>Лист4!$A$14:$A$19</c:f>
              <c:strCache>
                <c:ptCount val="6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</c:strCache>
            </c:strRef>
          </c:cat>
          <c:val>
            <c:numRef>
              <c:f>Лист4!$C$14:$C$19</c:f>
              <c:numCache>
                <c:formatCode>General</c:formatCode>
                <c:ptCount val="6"/>
                <c:pt idx="0">
                  <c:v>38.6</c:v>
                </c:pt>
                <c:pt idx="1">
                  <c:v>53.1</c:v>
                </c:pt>
                <c:pt idx="2">
                  <c:v>63.2</c:v>
                </c:pt>
                <c:pt idx="3">
                  <c:v>49.1</c:v>
                </c:pt>
                <c:pt idx="4">
                  <c:v>39.6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747882720"/>
        <c:axId val="-1747881632"/>
        <c:axId val="0"/>
      </c:bar3DChart>
      <c:catAx>
        <c:axId val="-174788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47881632"/>
        <c:crosses val="autoZero"/>
        <c:auto val="1"/>
        <c:lblAlgn val="ctr"/>
        <c:lblOffset val="100"/>
        <c:noMultiLvlLbl val="0"/>
      </c:catAx>
      <c:valAx>
        <c:axId val="-174788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4788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379308836395482"/>
          <c:y val="0.1199865121026539"/>
          <c:w val="0.28398468941382476"/>
          <c:h val="0.167434383202100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419072615923011E-2"/>
          <c:y val="2.8252405949256338E-2"/>
          <c:w val="0.84317957130358856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Милдью (лист), балл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контроль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2.6</c:v>
                </c:pt>
                <c:pt idx="2">
                  <c:v>2.2000000000000002</c:v>
                </c:pt>
                <c:pt idx="3">
                  <c:v>1.3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Черная пятнистость (побег), балл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контроль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1.5</c:v>
                </c:pt>
                <c:pt idx="1">
                  <c:v>2.7</c:v>
                </c:pt>
                <c:pt idx="2">
                  <c:v>2.2000000000000002</c:v>
                </c:pt>
                <c:pt idx="3">
                  <c:v>2</c:v>
                </c:pt>
                <c:pt idx="4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Белая гниль (ягоды), балл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контроль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3.3</c:v>
                </c:pt>
                <c:pt idx="2">
                  <c:v>2.9</c:v>
                </c:pt>
                <c:pt idx="3">
                  <c:v>2.6</c:v>
                </c:pt>
                <c:pt idx="4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89054496"/>
        <c:axId val="-1589053952"/>
      </c:barChart>
      <c:catAx>
        <c:axId val="-1589054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 b="0">
                    <a:latin typeface="Times New Roman" pitchFamily="18" charset="0"/>
                    <a:cs typeface="Times New Roman" pitchFamily="18" charset="0"/>
                  </a:rPr>
                  <a:t>Варианты опыта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589053952"/>
        <c:crosses val="autoZero"/>
        <c:auto val="1"/>
        <c:lblAlgn val="ctr"/>
        <c:lblOffset val="100"/>
        <c:noMultiLvlLbl val="0"/>
      </c:catAx>
      <c:valAx>
        <c:axId val="-1589053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Интенсивность развития,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58905449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5024120607138913"/>
          <c:y val="3.588546223388743E-2"/>
          <c:w val="0.45809226254880808"/>
          <c:h val="0.2082170431641207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88407699037621E-2"/>
          <c:y val="4.0780604903725988E-2"/>
          <c:w val="0.84733245844269467"/>
          <c:h val="0.83991410164638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Милдью</c:v>
                </c:pt>
              </c:strCache>
            </c:strRef>
          </c:tx>
          <c:invertIfNegative val="0"/>
          <c:val>
            <c:numRef>
              <c:f>Лист1!$B$9:$B$12</c:f>
              <c:numCache>
                <c:formatCode>General</c:formatCode>
                <c:ptCount val="4"/>
                <c:pt idx="0">
                  <c:v>71</c:v>
                </c:pt>
                <c:pt idx="1">
                  <c:v>26</c:v>
                </c:pt>
                <c:pt idx="2">
                  <c:v>37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Черная пятнистость</c:v>
                </c:pt>
              </c:strCache>
            </c:strRef>
          </c:tx>
          <c:invertIfNegative val="0"/>
          <c:val>
            <c:numRef>
              <c:f>Лист1!$C$9:$C$12</c:f>
              <c:numCache>
                <c:formatCode>General</c:formatCode>
                <c:ptCount val="4"/>
                <c:pt idx="0">
                  <c:v>52</c:v>
                </c:pt>
                <c:pt idx="1">
                  <c:v>13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Белая гниль</c:v>
                </c:pt>
              </c:strCache>
            </c:strRef>
          </c:tx>
          <c:invertIfNegative val="0"/>
          <c:val>
            <c:numRef>
              <c:f>Лист1!$D$9:$D$12</c:f>
              <c:numCache>
                <c:formatCode>General</c:formatCode>
                <c:ptCount val="4"/>
                <c:pt idx="0">
                  <c:v>42</c:v>
                </c:pt>
                <c:pt idx="1">
                  <c:v>13</c:v>
                </c:pt>
                <c:pt idx="2">
                  <c:v>24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89055040"/>
        <c:axId val="-1589051232"/>
        <c:axId val="0"/>
      </c:bar3DChart>
      <c:catAx>
        <c:axId val="-1589055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Варианты опыта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-1589051232"/>
        <c:crosses val="autoZero"/>
        <c:auto val="1"/>
        <c:lblAlgn val="ctr"/>
        <c:lblOffset val="100"/>
        <c:noMultiLvlLbl val="0"/>
      </c:catAx>
      <c:valAx>
        <c:axId val="-1589051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Биологическая эффективность, %</a:t>
                </a:r>
              </a:p>
            </c:rich>
          </c:tx>
          <c:layout>
            <c:manualLayout>
              <c:xMode val="edge"/>
              <c:yMode val="edge"/>
              <c:x val="1.5809273840769913E-3"/>
              <c:y val="0.202902612380064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58905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182086614173228"/>
          <c:y val="8.0810394568447658E-2"/>
          <c:w val="0.30686657917760385"/>
          <c:h val="0.198987440619509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2016-12-20T07:00:00Z</dcterms:created>
  <dcterms:modified xsi:type="dcterms:W3CDTF">2016-12-20T07:00:00Z</dcterms:modified>
</cp:coreProperties>
</file>