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33" w:rsidRPr="00337733" w:rsidRDefault="00337733" w:rsidP="0033773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634.8</w:t>
      </w:r>
    </w:p>
    <w:p w:rsidR="00337733" w:rsidRPr="00337733" w:rsidRDefault="00337733" w:rsidP="00337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ПОСТУПЛЕНИЙ В БЮДЖЕТ ДОХОДОВ </w:t>
      </w:r>
    </w:p>
    <w:p w:rsidR="00337733" w:rsidRPr="00337733" w:rsidRDefault="00337733" w:rsidP="00337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КОСВЕННЫХ НАЛОГОВ, СОБИРАЕМЫХ В РО </w:t>
      </w:r>
    </w:p>
    <w:p w:rsidR="00337733" w:rsidRPr="00337733" w:rsidRDefault="00337733" w:rsidP="00337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3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37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3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</w:t>
      </w:r>
      <w:r w:rsidRPr="00337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3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ВИНОДЕЛЬЧЕСКОЙ</w:t>
      </w:r>
      <w:r w:rsidRPr="00337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3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ОТРАСЛИ</w:t>
      </w:r>
      <w:r w:rsidRPr="00337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337733" w:rsidRPr="00337733" w:rsidRDefault="00337733" w:rsidP="00337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7733" w:rsidRPr="00337733" w:rsidRDefault="00337733" w:rsidP="00337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37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APPRAISAL OF BUDGET’S INCOME FROM INDIRECT TAXES </w:t>
      </w:r>
    </w:p>
    <w:p w:rsidR="00337733" w:rsidRPr="00337733" w:rsidRDefault="00337733" w:rsidP="00337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37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COLLECTED IN ROSTOV DISTRICT</w:t>
      </w:r>
    </w:p>
    <w:p w:rsidR="00337733" w:rsidRPr="00337733" w:rsidRDefault="00337733" w:rsidP="003377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377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FROM THE ENTERPRISES OF WINE INDUSTRY</w:t>
      </w:r>
    </w:p>
    <w:tbl>
      <w:tblPr>
        <w:tblW w:w="9026" w:type="dxa"/>
        <w:jc w:val="center"/>
        <w:tblLook w:val="04A0" w:firstRow="1" w:lastRow="0" w:firstColumn="1" w:lastColumn="0" w:noHBand="0" w:noVBand="1"/>
      </w:tblPr>
      <w:tblGrid>
        <w:gridCol w:w="4513"/>
        <w:gridCol w:w="4513"/>
      </w:tblGrid>
      <w:tr w:rsidR="00337733" w:rsidRPr="00337733" w:rsidTr="00C93F91">
        <w:trPr>
          <w:trHeight w:val="528"/>
          <w:jc w:val="center"/>
        </w:trPr>
        <w:tc>
          <w:tcPr>
            <w:tcW w:w="4513" w:type="dxa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Е.В. Апанасов, Н.М. Ерина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3773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E. V. Apanasov</w:t>
            </w:r>
            <w:r w:rsidRPr="00337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, N. M. Erin</w:t>
            </w:r>
            <w:r w:rsidRPr="00337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</w:p>
        </w:tc>
      </w:tr>
      <w:tr w:rsidR="00337733" w:rsidRPr="00337733" w:rsidTr="00C93F91">
        <w:trPr>
          <w:trHeight w:val="1555"/>
          <w:jc w:val="center"/>
        </w:trPr>
        <w:tc>
          <w:tcPr>
            <w:tcW w:w="4513" w:type="dxa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«Всероссийский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научно-исследовательский институт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виноградарства и виноделия 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Я.И. Потапенко», Новочеркасск, Россия, </w:t>
            </w: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33773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ruswine</w:t>
              </w:r>
              <w:r w:rsidRPr="00337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3773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337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3773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All-Russian research Y.I. Potapenko 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Institute for viticulture and winemaking, 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Novocherkassk, Russia, 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33773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ruswine@yandex.ru</w:t>
              </w:r>
            </w:hyperlink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337733" w:rsidRPr="00337733" w:rsidTr="00C93F91">
        <w:trPr>
          <w:trHeight w:val="2358"/>
          <w:jc w:val="center"/>
        </w:trPr>
        <w:tc>
          <w:tcPr>
            <w:tcW w:w="4513" w:type="dxa"/>
            <w:shd w:val="clear" w:color="auto" w:fill="auto"/>
          </w:tcPr>
          <w:p w:rsidR="00337733" w:rsidRPr="00337733" w:rsidRDefault="00337733" w:rsidP="003377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Аннотация.</w:t>
            </w: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Рассматривается практика косвенного налогообложения на примере поступления НДС и акцизов на спирт, алкогольную и спиртосодержащую продукцию в бюджет, применяется группировка имеющейся информации для дальнейшей ее оценки с помощью статистических показателей вариации.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337733" w:rsidRPr="00337733" w:rsidRDefault="00337733" w:rsidP="003377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Summary.</w:t>
            </w: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Examines the practice of indirect taxation-for example, receipts of VAT and excise taxes on alcohol, alcoholic and alcohol-containing products in the budget, the data is grouped the available information for further assessment using statistical indicators of variation.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337733" w:rsidRPr="00337733" w:rsidTr="00C93F91">
        <w:trPr>
          <w:trHeight w:val="1057"/>
          <w:jc w:val="center"/>
        </w:trPr>
        <w:tc>
          <w:tcPr>
            <w:tcW w:w="4513" w:type="dxa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Ключевые слова: </w:t>
            </w: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продукция, косвенные налоги, НДС, акцизы, вариация, дисперсия, среднее квадратическое отклонение, коэффициент вариации.</w:t>
            </w:r>
          </w:p>
        </w:tc>
        <w:tc>
          <w:tcPr>
            <w:tcW w:w="4513" w:type="dxa"/>
            <w:shd w:val="clear" w:color="auto" w:fill="auto"/>
          </w:tcPr>
          <w:p w:rsidR="00337733" w:rsidRPr="00337733" w:rsidRDefault="00337733" w:rsidP="003377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Keywords: </w:t>
            </w: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alcoholic beverages, indirect taxes, VAT, excises, variation, variance, standard deviation, coefficient of variation.</w:t>
            </w:r>
          </w:p>
          <w:p w:rsidR="00337733" w:rsidRPr="00337733" w:rsidRDefault="00337733" w:rsidP="0033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</w:tbl>
    <w:p w:rsidR="00337733" w:rsidRPr="00337733" w:rsidRDefault="00337733" w:rsidP="00337733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Введение.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Совершенствование акцизного налогообложения алкогольной продукции является одной из наиболее острых тем реформирования законодательства Российской Федерации о налогах и сборах. Это связано с тем, что акцизы играют важную роль и в экономической, и в социальной сфере.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Материальные предпосылки для развития производства качественного алкоголя вытекают из предпосылок идеологических: государство либо ведет борьбу с алкоголизмом через уничтожение собственной легальной алкогольной промышленности, либо развивает национальные традиции виноделия и защищает местных производителей вин, повышая и пропагандируя интерес к культуре потребления вина, переориентируя население с потребления крепких спиртных напитков на потребление более слабых и менее вредных для здоровья.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Практика развитых европейских винодельческих стран показывает, что высокое качество производимого ими вина достигается в результате выполнения многих условий. Например, законодательство и протекционистская государственная политика в области виноделия и виноградарства в традиционно винодельческих странах ЕС - Италии, Испании, Германии, Греции и Португалии выглядят следующим образом: местные производители освобождены от уплаты акциза на вино, для них существует льготное налогообложение в области виноградарства и налоговое стимулирование экспорта вина [1]. Система государственных дотаций и гибкая политика в предоставлении государственных и коммерческих кредитов для предприятий отрасли, а также высокие таможенные пошлины на импортные вина и крепкие спиртные напитки – главные рычаги в организации национального виноделия в этих государствах.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Россия обладает уникальным комплексом географических и климатических условий, которые позволяют развивать производство винограда. Но из 400 тыс. гектаров земель, пригодных для выращивания винограда, виноградниками занято около 70 тысяч гектаров, то есть используется всего 20 % площадей. В России производится 250 тыс. тонн винограда и вырабатывается 20 млн. декалитров виноматериалов. Однако потребности отечественного рынка удовлетворяются за счет собственного сырья только на 25–30 %. Для удовлетворения потребностей российского рынка необходимо производить более 2 млн. тонн винограда, и возможности для этого в стране есть, все вышесказанное свидетельствует об </w:t>
      </w:r>
      <w:r w:rsidRPr="003377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актуальности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данного вопроса.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Объекты и методы исследования. 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пополнения государственного бюджета и для ограничения потребления алкогольных напитков, продажа алкоголя облагается НДС и акцизом, налоги составляют значительную часть цены алкогольных напитков (табл. 1). </w:t>
      </w:r>
    </w:p>
    <w:p w:rsidR="00337733" w:rsidRPr="00337733" w:rsidRDefault="00337733" w:rsidP="00337733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37733" w:rsidRPr="00337733" w:rsidRDefault="00337733" w:rsidP="0033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Поступления в бюджет НДС и акцизов, администрируемых УФНС России </w:t>
      </w:r>
    </w:p>
    <w:p w:rsidR="00337733" w:rsidRPr="00337733" w:rsidRDefault="00337733" w:rsidP="0033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Ростовской области, млн. руб.</w:t>
      </w:r>
      <w:r w:rsidRPr="0033773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"/>
        <w:t>*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147"/>
        <w:gridCol w:w="992"/>
        <w:gridCol w:w="992"/>
        <w:gridCol w:w="992"/>
        <w:gridCol w:w="851"/>
        <w:gridCol w:w="1134"/>
        <w:gridCol w:w="1114"/>
      </w:tblGrid>
      <w:tr w:rsidR="00337733" w:rsidRPr="00337733" w:rsidTr="00C93F91">
        <w:trPr>
          <w:tblHeader/>
          <w:jc w:val="center"/>
        </w:trPr>
        <w:tc>
          <w:tcPr>
            <w:tcW w:w="1837" w:type="dxa"/>
            <w:vMerge w:val="restart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37733" w:rsidRPr="00337733" w:rsidRDefault="00337733" w:rsidP="0033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7222" w:type="dxa"/>
            <w:gridSpan w:val="7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Исследуемый временной период, гг.</w:t>
            </w:r>
          </w:p>
        </w:tc>
      </w:tr>
      <w:tr w:rsidR="00337733" w:rsidRPr="00337733" w:rsidTr="00C93F91">
        <w:trPr>
          <w:trHeight w:val="542"/>
          <w:tblHeader/>
          <w:jc w:val="center"/>
        </w:trPr>
        <w:tc>
          <w:tcPr>
            <w:tcW w:w="1837" w:type="dxa"/>
            <w:vMerge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37733" w:rsidRPr="00337733" w:rsidTr="00C93F91">
        <w:trPr>
          <w:jc w:val="center"/>
        </w:trPr>
        <w:tc>
          <w:tcPr>
            <w:tcW w:w="9059" w:type="dxa"/>
            <w:gridSpan w:val="8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</w:tr>
      <w:tr w:rsidR="00337733" w:rsidRPr="00337733" w:rsidTr="00C93F91">
        <w:trPr>
          <w:jc w:val="center"/>
        </w:trPr>
        <w:tc>
          <w:tcPr>
            <w:tcW w:w="1837" w:type="dxa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12045,1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53324,8</w:t>
            </w:r>
          </w:p>
        </w:tc>
      </w:tr>
      <w:tr w:rsidR="00337733" w:rsidRPr="00337733" w:rsidTr="00C93F91">
        <w:trPr>
          <w:jc w:val="center"/>
        </w:trPr>
        <w:tc>
          <w:tcPr>
            <w:tcW w:w="1837" w:type="dxa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62370,6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208533,8</w:t>
            </w:r>
          </w:p>
        </w:tc>
      </w:tr>
      <w:tr w:rsidR="00337733" w:rsidRPr="00337733" w:rsidTr="00C93F91">
        <w:trPr>
          <w:jc w:val="center"/>
        </w:trPr>
        <w:tc>
          <w:tcPr>
            <w:tcW w:w="9059" w:type="dxa"/>
            <w:gridSpan w:val="8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Акцизы на спирт, алкогольную и спиртосодержащую продукцию</w:t>
            </w:r>
          </w:p>
        </w:tc>
      </w:tr>
      <w:tr w:rsidR="00337733" w:rsidRPr="00337733" w:rsidTr="00C93F91">
        <w:trPr>
          <w:jc w:val="center"/>
        </w:trPr>
        <w:tc>
          <w:tcPr>
            <w:tcW w:w="1837" w:type="dxa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</w:tr>
      <w:tr w:rsidR="00337733" w:rsidRPr="00337733" w:rsidTr="00C93F91">
        <w:trPr>
          <w:jc w:val="center"/>
        </w:trPr>
        <w:tc>
          <w:tcPr>
            <w:tcW w:w="1837" w:type="dxa"/>
            <w:shd w:val="clear" w:color="auto" w:fill="auto"/>
          </w:tcPr>
          <w:p w:rsidR="00337733" w:rsidRPr="00337733" w:rsidRDefault="00337733" w:rsidP="0033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37733" w:rsidRPr="00337733" w:rsidRDefault="00337733" w:rsidP="0033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54160</w:t>
            </w:r>
          </w:p>
        </w:tc>
      </w:tr>
    </w:tbl>
    <w:p w:rsidR="00337733" w:rsidRPr="00337733" w:rsidRDefault="00337733" w:rsidP="00337733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Рассмотрим методическое обеспечение прогнозирования налоговых поступлений в бюджет от реализации алкогольной продукции, используя данные по формам статистической налоговой отчетности, построим прогноз поступления косвенных налогов, администрируемых УФНС России по Ростовской области с 2016 г. по 2017 г. (рис.)</w:t>
      </w:r>
    </w:p>
    <w:p w:rsidR="00337733" w:rsidRPr="00337733" w:rsidRDefault="00337733" w:rsidP="0033773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3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753100" cy="2282825"/>
            <wp:effectExtent l="0" t="0" r="0" b="3175"/>
            <wp:docPr id="13" name="Диаграмма 13" descr="Название: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3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Прогноз поступления косвенных налогов, администрируемых УФНС России по Ростовской области на 2016–2017 гг.</w:t>
      </w:r>
    </w:p>
    <w:p w:rsidR="00337733" w:rsidRPr="00337733" w:rsidRDefault="00337733" w:rsidP="00337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Из данных, представленных на рисунке, видно, что акцизы за анализируемый промежуток времени являются достаточно стабильными источниками поступлений денежных средств в бюджет Ростовской области, а налог на добавленную стоимость, хотя и значительно превышает акциз по поступающим суммам, является склонным к перепадам в поступлениях, которые особенно проявились в 2012–2014 гг. Связано это с тем, что налоговая база этого налога чувствительна к изменениям экономической ситуации: в случае позитивной рыночной конъюнктуры растет опережающими темпами, а при снижении – сокращается. 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Степень изменения (колебания) представленных значений косвенных налогов можно измерить и получить количественную их оценку с помощью статистических показателей вариации. </w:t>
      </w:r>
      <w:r w:rsidRPr="00337733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shd w:val="clear" w:color="auto" w:fill="FFFFFF"/>
          <w:lang w:eastAsia="ru-RU"/>
        </w:rPr>
        <w:t>Вариация</w:t>
      </w:r>
      <w:r w:rsidRPr="00337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33773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— это различия индивидуальных значений признака у единиц изучаемой совокупности, необходимость изучения вариации связана с тем, что средняя, являясь равнодействующей, выполняет свою основную задачу с </w:t>
      </w:r>
      <w:r w:rsidRPr="0033773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разной степенью точности: чем меньше различия индивидуальных значений признака, подлежащих осреднению, тем однороднее совокупность, а, следовательно, точнее и надежнее средняя, и наоборот [3]. По степени вариации можно судить о границах вариации признака, однородности совокупности по данному признаку, типичности средней, взаимосвязи факторов, определяющих вариацию. 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тех случаях, когда изучаемая совокупность расчленена на однородные группы по одному фактору, изучение вариации достигается посредством расчета и анализа частной дисперсии, среднего квадратического отклонения и коэффициента вариации.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Обозначим поступления в бюджет НДС за </w:t>
      </w:r>
      <w:r w:rsidRPr="003377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</w:t>
      </w:r>
      <w:r w:rsidRPr="00337733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акцизов на спирт, алкогольную и спиртосодержащую продукцию – </w:t>
      </w:r>
      <w:r w:rsidRPr="003377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</w:t>
      </w:r>
      <w:r w:rsidRPr="00337733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, частную дисперсию (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eastAsia="ru-RU"/>
              </w:rPr>
              <m:t>δ</m:t>
            </m:r>
          </m:e>
          <m:sup>
            <m:r>
              <w:rPr>
                <w:rFonts w:ascii="Cambria Math" w:hAnsi="Cambria Math"/>
                <w:sz w:val="30"/>
                <w:szCs w:val="30"/>
                <w:lang w:eastAsia="ru-RU"/>
              </w:rPr>
              <m:t>2</m:t>
            </m:r>
          </m:sup>
        </m:sSup>
      </m:oMath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) для каждой изучаемой группы можно определить с помощью следующей формулы:</w:t>
      </w:r>
    </w:p>
    <w:p w:rsidR="00337733" w:rsidRPr="00337733" w:rsidRDefault="00337733" w:rsidP="00337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eastAsia="ru-RU"/>
              </w:rPr>
              <m:t>δ</m:t>
            </m:r>
          </m:e>
          <m:sup>
            <m:r>
              <w:rPr>
                <w:rFonts w:ascii="Cambria Math" w:hAnsi="Cambria Math"/>
                <w:sz w:val="30"/>
                <w:szCs w:val="30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30"/>
            <w:szCs w:val="30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eastAsia="ru-RU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eastAsia="ru-RU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 w:eastAsia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eastAsia="ru-RU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 w:eastAsia="ru-RU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</m:nary>
              </m:e>
              <m:sup>
                <m:r>
                  <w:rPr>
                    <w:rFonts w:ascii="Cambria Math" w:hAnsi="Cambria Math"/>
                    <w:sz w:val="30"/>
                    <w:szCs w:val="30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  <w:lang w:eastAsia="ru-RU"/>
              </w:rPr>
              <m:t>n</m:t>
            </m:r>
          </m:den>
        </m:f>
      </m:oMath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eastAsia="ru-RU"/>
              </w:rPr>
              <m:t>x</m:t>
            </m:r>
          </m:e>
          <m:sub>
            <m:r>
              <w:rPr>
                <w:rFonts w:ascii="Cambria Math" w:hAnsi="Cambria Math"/>
                <w:sz w:val="30"/>
                <w:szCs w:val="30"/>
                <w:lang w:eastAsia="ru-RU"/>
              </w:rPr>
              <m:t>i</m:t>
            </m:r>
          </m:sub>
        </m:sSub>
      </m:oMath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значения изучаемого экономического признака, в данном случае суммы поступивших в бюджет налогов,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accPr>
          <m:e>
            <m:r>
              <w:rPr>
                <w:rFonts w:ascii="Cambria Math" w:hAnsi="Cambria Math"/>
                <w:sz w:val="30"/>
                <w:szCs w:val="30"/>
                <w:lang w:eastAsia="ru-RU"/>
              </w:rPr>
              <m:t>x</m:t>
            </m:r>
          </m:e>
        </m:acc>
      </m:oMath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средняя арифметическая величина, определяемая в границах изучаемой совокупности,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n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число членов ряда или количество изучаемых статистических вариант в данной совокупности.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Построим сводную таблицу, полученную по результатам аналитической группировки (табл. 2).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37733" w:rsidRPr="00337733" w:rsidRDefault="00337733" w:rsidP="0033773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группировка изучаемой совокупности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116"/>
        <w:gridCol w:w="1116"/>
        <w:gridCol w:w="1488"/>
        <w:gridCol w:w="1116"/>
        <w:gridCol w:w="1416"/>
        <w:gridCol w:w="1595"/>
      </w:tblGrid>
      <w:tr w:rsidR="00337733" w:rsidRPr="00337733" w:rsidTr="00C93F91">
        <w:trPr>
          <w:trHeight w:val="563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Изучаемый </w:t>
            </w:r>
          </w:p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гг.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x</m:t>
                  </m:r>
                </m:e>
              </m:acc>
            </m:oMath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x</m:t>
                  </m:r>
                </m:e>
              </m:acc>
            </m:oMath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(х</w:t>
            </w: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)</m:t>
              </m:r>
            </m:oMath>
            <w:r w:rsidRPr="0033773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(х</w:t>
            </w: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)</m:t>
              </m:r>
            </m:oMath>
            <w:r w:rsidRPr="0033773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337733" w:rsidRPr="00337733" w:rsidTr="00C93F91">
        <w:trPr>
          <w:trHeight w:val="226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37733" w:rsidRPr="00337733" w:rsidTr="00C93F91">
        <w:trPr>
          <w:trHeight w:val="390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248,03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-9329,667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-3008,28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87042689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9049731,368</w:t>
            </w:r>
          </w:p>
        </w:tc>
      </w:tr>
      <w:tr w:rsidR="00337733" w:rsidRPr="00337733" w:rsidTr="00C93F91">
        <w:trPr>
          <w:trHeight w:val="390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-9306,647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-2392,54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86613681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5724233,98</w:t>
            </w:r>
          </w:p>
        </w:tc>
      </w:tr>
      <w:tr w:rsidR="00337733" w:rsidRPr="00337733" w:rsidTr="00C93F91">
        <w:trPr>
          <w:trHeight w:val="390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-9232,197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-1258,04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85233464,1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1582657,453</w:t>
            </w:r>
          </w:p>
        </w:tc>
      </w:tr>
      <w:tr w:rsidR="00337733" w:rsidRPr="00337733" w:rsidTr="00C93F91">
        <w:trPr>
          <w:trHeight w:val="390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-9175,997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-782,037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84198923,6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611582,0928</w:t>
            </w:r>
          </w:p>
        </w:tc>
      </w:tr>
      <w:tr w:rsidR="00337733" w:rsidRPr="00337733" w:rsidTr="00C93F91">
        <w:trPr>
          <w:trHeight w:val="390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-9169,997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431,9629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84088847,6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186591,91</w:t>
            </w:r>
          </w:p>
        </w:tc>
      </w:tr>
      <w:tr w:rsidR="00337733" w:rsidRPr="00337733" w:rsidTr="00C93F91">
        <w:trPr>
          <w:trHeight w:val="390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12045,1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2467,4029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2749,963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6088076,86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7562295,716</w:t>
            </w:r>
          </w:p>
        </w:tc>
      </w:tr>
      <w:tr w:rsidR="00337733" w:rsidRPr="00337733" w:rsidTr="00C93F91">
        <w:trPr>
          <w:trHeight w:val="390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53324,8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43747,103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4258,963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1913809008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18138764,62</w:t>
            </w:r>
          </w:p>
        </w:tc>
      </w:tr>
      <w:tr w:rsidR="00337733" w:rsidRPr="00337733" w:rsidTr="00C93F91">
        <w:trPr>
          <w:trHeight w:val="390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67043,88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21112,3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2347074691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42855857,14</w:t>
            </w:r>
          </w:p>
        </w:tc>
      </w:tr>
      <w:tr w:rsidR="00337733" w:rsidRPr="00337733" w:rsidTr="00C93F91">
        <w:trPr>
          <w:trHeight w:val="390"/>
          <w:jc w:val="center"/>
        </w:trPr>
        <w:tc>
          <w:tcPr>
            <w:tcW w:w="1663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9577,697</w:t>
            </w:r>
          </w:p>
        </w:tc>
        <w:tc>
          <w:tcPr>
            <w:tcW w:w="1116" w:type="dxa"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3016,043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337733" w:rsidRPr="00337733" w:rsidRDefault="00337733" w:rsidP="003377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37733" w:rsidRPr="00337733" w:rsidRDefault="00337733" w:rsidP="0033773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Частная или внутригрупповая дисперсия позволяет вычислить среднее квадратическое отклонение, которое является обобщающей 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характеристикой размеров вариации признака совокупности, это – мера вариации, показатель надёжности средней. Чем меньше значение среднего квадратического отклонения, тем лучше средняя величина представляет собой рассматриваемую совокупность – значение квадратного корня из величины среднего квадрата отклонений отдельных значений признака от средней арифметической величины, определенной в границах изучаемой совокупности, или другими словами это корень квадратный из статистической дисперсии:</w:t>
      </w:r>
    </w:p>
    <w:p w:rsidR="00337733" w:rsidRPr="00337733" w:rsidRDefault="00337733" w:rsidP="00337733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>
        <m:r>
          <w:rPr>
            <w:rFonts w:ascii="Cambria Math" w:hAnsi="Cambria Math"/>
            <w:sz w:val="30"/>
            <w:szCs w:val="30"/>
            <w:lang w:eastAsia="ru-RU"/>
          </w:rPr>
          <m:t>δ=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eastAsia="ru-RU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eastAsia="ru-RU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eastAsia="ru-RU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eastAsia="ru-RU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  <w:lang w:eastAsia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eastAsia="ru-RU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eastAsia="ru-RU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eastAsia="ru-RU"/>
                  </w:rPr>
                  <m:t>n</m:t>
                </m:r>
              </m:den>
            </m:f>
          </m:e>
        </m:rad>
      </m:oMath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337733" w:rsidRPr="00337733" w:rsidRDefault="00337733" w:rsidP="0033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где </w:t>
      </w:r>
      <m:oMath>
        <m:r>
          <w:rPr>
            <w:rFonts w:ascii="Cambria Math" w:hAnsi="Cambria Math"/>
            <w:sz w:val="30"/>
            <w:szCs w:val="30"/>
            <w:lang w:eastAsia="ru-RU"/>
          </w:rPr>
          <m:t>δ</m:t>
        </m:r>
      </m:oMath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среднее квадратическое отклонение, для совокупности </w:t>
      </w:r>
      <w:r w:rsidRPr="003377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</w:t>
      </w:r>
      <w:r w:rsidRPr="00337733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1 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оно равно 18311,1 млн.руб., а для совокупности </w:t>
      </w:r>
      <w:r w:rsidRPr="003377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</w:t>
      </w:r>
      <w:r w:rsidRPr="00337733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2 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соответственно 2474,32 млн.руб. Таким образом, выполненные расчёты показывают, что колеблемость (вариация) индивидуальных значений налоговых поступлений в бюджет Ростовской области от НДС намного выше, чем от акцизов.</w:t>
      </w:r>
    </w:p>
    <w:p w:rsidR="00337733" w:rsidRPr="00337733" w:rsidRDefault="00337733" w:rsidP="0033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целей сравнения колеблемости различных признаков в одной и той же совокупности или же при сравнении изменчивости одного и того же признака в нескольких совокупностях исчисляют коэффициент вариации в относительных величинах, базой для сравнения служит средняя арифметическая:</w:t>
      </w:r>
    </w:p>
    <w:p w:rsidR="00337733" w:rsidRPr="00337733" w:rsidRDefault="00337733" w:rsidP="00337733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m:oMathPara>
        <m:oMath>
          <m:r>
            <w:rPr>
              <w:rFonts w:ascii="Cambria Math" w:hAnsi="Cambria Math"/>
              <w:sz w:val="30"/>
              <w:szCs w:val="30"/>
              <w:lang w:eastAsia="ru-RU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  <w:lang w:eastAsia="ru-RU"/>
                </w:rPr>
                <m:t>δ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30"/>
              <w:szCs w:val="30"/>
              <w:lang w:eastAsia="ru-RU"/>
            </w:rPr>
            <m:t>∙100 %,</m:t>
          </m:r>
        </m:oMath>
      </m:oMathPara>
    </w:p>
    <w:p w:rsidR="00337733" w:rsidRPr="00337733" w:rsidRDefault="00337733" w:rsidP="0033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где </w:t>
      </w:r>
      <m:oMath>
        <m:r>
          <w:rPr>
            <w:rFonts w:ascii="Cambria Math" w:hAnsi="Cambria Math"/>
            <w:sz w:val="30"/>
            <w:szCs w:val="30"/>
            <w:lang w:eastAsia="ru-RU"/>
          </w:rPr>
          <m:t>V-</m:t>
        </m:r>
      </m:oMath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коэффициент вариации, он как правило выражается в процентах и определяет не только сравнительную оценку вариации, но и дает характеристику однородности совокупности.</w:t>
      </w:r>
    </w:p>
    <w:p w:rsidR="00337733" w:rsidRPr="00337733" w:rsidRDefault="00337733" w:rsidP="0033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совокупности </w:t>
      </w:r>
      <w:r w:rsidRPr="003377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</w:t>
      </w:r>
      <w:r w:rsidRPr="00337733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коэффициент вариации равен 191,18 %, очень высокое значение данного показателя свидетельствует о значительных отклонениях налоговых поступлений НДС от средней величины, а также о неоднородности данной совокупности. Для второй совокупности </w:t>
      </w:r>
      <w:r w:rsidRPr="003377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</w:t>
      </w:r>
      <w:r w:rsidRPr="00337733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коэффициент вариации равен 82,04 %, здесь совокупность налоговых поступлений в виде акцизов на спирт, алкогольную и спиртосодержащую продукцию является однородной, но она также подвержена существенным колебаниям.</w:t>
      </w:r>
    </w:p>
    <w:p w:rsidR="00337733" w:rsidRPr="00337733" w:rsidRDefault="00337733" w:rsidP="0033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информации по косвенным налогам за ряд лет, позволила сделать следующие выводы:</w:t>
      </w:r>
    </w:p>
    <w:p w:rsidR="00337733" w:rsidRPr="00337733" w:rsidRDefault="00337733" w:rsidP="00337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Доля доходов в бюджете от НДС по ЮФО на 25,6 % определяется платежами хозяйствующих субъектов Ростовской области.</w:t>
      </w:r>
    </w:p>
    <w:p w:rsidR="00337733" w:rsidRPr="00337733" w:rsidRDefault="00337733" w:rsidP="0033773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73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Рост акцизов на спирт, алкогольную и спиртосодержащую продукцию за последние два года составил в среднем 26 %.</w:t>
      </w:r>
    </w:p>
    <w:p w:rsidR="00337733" w:rsidRPr="00337733" w:rsidRDefault="00337733" w:rsidP="0033773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337733" w:rsidRPr="00337733" w:rsidRDefault="00337733" w:rsidP="003377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Павленко, Ю.Н. Развитие акцизного налогообложения в Российской Федерации: </w:t>
      </w:r>
      <w:r w:rsidRPr="00337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дис. канд.экон. наук</w:t>
      </w:r>
      <w:r w:rsidRPr="0033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Кубанский гос. аграрный университет, Краснодар, 2015. </w:t>
      </w:r>
    </w:p>
    <w:p w:rsidR="00337733" w:rsidRPr="00337733" w:rsidRDefault="00337733" w:rsidP="0033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Официальный сайт Федеральной налоговой службы [Электронный ресурс] - Режим доступа: URL: http: //www.nalog.ru/rn23/related_ activities/statistics_ and_analytics/forms/ (дата обращения: 12.09.2016). </w:t>
      </w:r>
    </w:p>
    <w:p w:rsidR="00337733" w:rsidRPr="00337733" w:rsidRDefault="00337733" w:rsidP="0033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3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Экономическая статистика</w:t>
      </w:r>
      <w:r w:rsidRPr="0033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/ под ред. Ю.Н. Иванова. – </w:t>
      </w:r>
      <w:r w:rsidRPr="0033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3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изд., доп — М.: ИНФРА-М, 2002.</w:t>
      </w:r>
    </w:p>
    <w:p w:rsidR="00DB6B6E" w:rsidRPr="00874F5B" w:rsidRDefault="00DB6B6E">
      <w:bookmarkStart w:id="0" w:name="_GoBack"/>
      <w:bookmarkEnd w:id="0"/>
    </w:p>
    <w:sectPr w:rsidR="00DB6B6E" w:rsidRPr="008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9B" w:rsidRDefault="00E9279B" w:rsidP="00337733">
      <w:pPr>
        <w:spacing w:after="0" w:line="240" w:lineRule="auto"/>
      </w:pPr>
      <w:r>
        <w:separator/>
      </w:r>
    </w:p>
  </w:endnote>
  <w:endnote w:type="continuationSeparator" w:id="0">
    <w:p w:rsidR="00E9279B" w:rsidRDefault="00E9279B" w:rsidP="0033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9B" w:rsidRDefault="00E9279B" w:rsidP="00337733">
      <w:pPr>
        <w:spacing w:after="0" w:line="240" w:lineRule="auto"/>
      </w:pPr>
      <w:r>
        <w:separator/>
      </w:r>
    </w:p>
  </w:footnote>
  <w:footnote w:type="continuationSeparator" w:id="0">
    <w:p w:rsidR="00E9279B" w:rsidRDefault="00E9279B" w:rsidP="00337733">
      <w:pPr>
        <w:spacing w:after="0" w:line="240" w:lineRule="auto"/>
      </w:pPr>
      <w:r>
        <w:continuationSeparator/>
      </w:r>
    </w:p>
  </w:footnote>
  <w:footnote w:id="1">
    <w:p w:rsidR="00337733" w:rsidRPr="00E041A9" w:rsidRDefault="00337733" w:rsidP="00337733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E041A9">
        <w:t>Официальный сайт Федеральной налоговой службы [Элек</w:t>
      </w:r>
      <w:r>
        <w:t>тронный ресурс] – Режим доступа</w:t>
      </w:r>
      <w:r w:rsidRPr="00E041A9">
        <w:t xml:space="preserve">:URL: http://www.nalog.ru/rn23/related_activities/statistics_and_analytics/forms/ (дата обращения: 12.09.2016). </w:t>
      </w:r>
    </w:p>
    <w:p w:rsidR="00337733" w:rsidRDefault="00337733" w:rsidP="0033773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38A8"/>
    <w:multiLevelType w:val="hybridMultilevel"/>
    <w:tmpl w:val="8A08C8DA"/>
    <w:lvl w:ilvl="0" w:tplc="E804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7"/>
    <w:rsid w:val="003158CF"/>
    <w:rsid w:val="00337733"/>
    <w:rsid w:val="0043511E"/>
    <w:rsid w:val="004A61F9"/>
    <w:rsid w:val="005B38A7"/>
    <w:rsid w:val="007461AA"/>
    <w:rsid w:val="00782C16"/>
    <w:rsid w:val="007B0AE0"/>
    <w:rsid w:val="00841797"/>
    <w:rsid w:val="00874F5B"/>
    <w:rsid w:val="00B33299"/>
    <w:rsid w:val="00DB6B6E"/>
    <w:rsid w:val="00E9279B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F40C-47D1-46BE-BB5B-2A0F957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77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733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337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win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win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407\Documents\&#1045;&#1056;&#1048;&#1053;&#1040;\&#1089;&#1090;&#1072;&#1090;&#1100;&#1103;-&#1080;&#1089;&#1093;&#1086;&#1076;&#1085;&#1099;&#1077;%20&#1076;&#1072;&#1085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Лист5!$A$3</c:f>
              <c:strCache>
                <c:ptCount val="1"/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8"/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Лист5!$B$1:$J$2</c:f>
              <c:multiLvlStrCache>
                <c:ptCount val="9"/>
                <c:lvl>
                  <c:pt idx="0">
                    <c:v>2009</c:v>
                  </c:pt>
                  <c:pt idx="1">
                    <c:v>2010</c:v>
                  </c:pt>
                  <c:pt idx="2">
                    <c:v>2011</c:v>
                  </c:pt>
                  <c:pt idx="3">
                    <c:v>2012</c:v>
                  </c:pt>
                  <c:pt idx="4">
                    <c:v>2013</c:v>
                  </c:pt>
                  <c:pt idx="5">
                    <c:v>2014</c:v>
                  </c:pt>
                  <c:pt idx="6">
                    <c:v>2015</c:v>
                  </c:pt>
                  <c:pt idx="7">
                    <c:v>2016</c:v>
                  </c:pt>
                  <c:pt idx="8">
                    <c:v>2017</c:v>
                  </c:pt>
                </c:lvl>
                <c:lvl>
                  <c:pt idx="0">
                    <c:v>Исследуемый временной период, гг.</c:v>
                  </c:pt>
                </c:lvl>
              </c:multiLvlStrCache>
            </c:multiLvlStrRef>
          </c:cat>
          <c:val>
            <c:numRef>
              <c:f>Лист5!$B$3:$J$3</c:f>
              <c:numCache>
                <c:formatCode>General</c:formatCode>
                <c:ptCount val="9"/>
              </c:numCache>
            </c:numRef>
          </c:val>
          <c:smooth val="0"/>
        </c:ser>
        <c:ser>
          <c:idx val="1"/>
          <c:order val="1"/>
          <c:tx>
            <c:strRef>
              <c:f>Лист5!$A$4</c:f>
              <c:strCache>
                <c:ptCount val="1"/>
                <c:pt idx="0">
                  <c:v>НДС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8"/>
              <c:tx>
                <c:rich>
                  <a:bodyPr/>
                  <a:lstStyle/>
                  <a:p>
                    <a:fld id="{CB09DE48-4A39-45BF-9E69-7E5251F1D24C}" type="SERIESNAME">
                      <a:rPr lang="ru-RU"/>
                      <a:pPr/>
                      <a:t>[ИМЯ РЯДА]</a:t>
                    </a:fld>
                    <a:r>
                      <a:rPr lang="ru-RU"/>
                      <a:t> </a:t>
                    </a:r>
                    <a:r>
                      <a:rPr lang="ru-RU" baseline="0"/>
                      <a:t> </a:t>
                    </a:r>
                    <a:fld id="{C7D96A72-F1A5-4F68-B373-824F80E05B23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eparator> </c:separator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linear"/>
            <c:forward val="2"/>
            <c:dispRSqr val="0"/>
            <c:dispEq val="0"/>
          </c:trendline>
          <c:cat>
            <c:multiLvlStrRef>
              <c:f>Лист5!$B$1:$J$2</c:f>
              <c:multiLvlStrCache>
                <c:ptCount val="9"/>
                <c:lvl>
                  <c:pt idx="0">
                    <c:v>2009</c:v>
                  </c:pt>
                  <c:pt idx="1">
                    <c:v>2010</c:v>
                  </c:pt>
                  <c:pt idx="2">
                    <c:v>2011</c:v>
                  </c:pt>
                  <c:pt idx="3">
                    <c:v>2012</c:v>
                  </c:pt>
                  <c:pt idx="4">
                    <c:v>2013</c:v>
                  </c:pt>
                  <c:pt idx="5">
                    <c:v>2014</c:v>
                  </c:pt>
                  <c:pt idx="6">
                    <c:v>2015</c:v>
                  </c:pt>
                  <c:pt idx="7">
                    <c:v>2016</c:v>
                  </c:pt>
                  <c:pt idx="8">
                    <c:v>2017</c:v>
                  </c:pt>
                </c:lvl>
                <c:lvl>
                  <c:pt idx="0">
                    <c:v>Исследуемый временной период, гг.</c:v>
                  </c:pt>
                </c:lvl>
              </c:multiLvlStrCache>
            </c:multiLvlStrRef>
          </c:cat>
          <c:val>
            <c:numRef>
              <c:f>Лист5!$B$4:$J$4</c:f>
              <c:numCache>
                <c:formatCode>General</c:formatCode>
                <c:ptCount val="9"/>
                <c:pt idx="0">
                  <c:v>248.03</c:v>
                </c:pt>
                <c:pt idx="1">
                  <c:v>271.05</c:v>
                </c:pt>
                <c:pt idx="2">
                  <c:v>345.5</c:v>
                </c:pt>
                <c:pt idx="3">
                  <c:v>401.7</c:v>
                </c:pt>
                <c:pt idx="4">
                  <c:v>407.7</c:v>
                </c:pt>
                <c:pt idx="5">
                  <c:v>12045.1</c:v>
                </c:pt>
                <c:pt idx="6">
                  <c:v>53324.800000000003</c:v>
                </c:pt>
                <c:pt idx="7">
                  <c:v>69322.2</c:v>
                </c:pt>
                <c:pt idx="8">
                  <c:v>81800.2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Лист5!$A$5</c:f>
              <c:strCache>
                <c:ptCount val="1"/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8"/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Лист5!$B$1:$J$2</c:f>
              <c:multiLvlStrCache>
                <c:ptCount val="9"/>
                <c:lvl>
                  <c:pt idx="0">
                    <c:v>2009</c:v>
                  </c:pt>
                  <c:pt idx="1">
                    <c:v>2010</c:v>
                  </c:pt>
                  <c:pt idx="2">
                    <c:v>2011</c:v>
                  </c:pt>
                  <c:pt idx="3">
                    <c:v>2012</c:v>
                  </c:pt>
                  <c:pt idx="4">
                    <c:v>2013</c:v>
                  </c:pt>
                  <c:pt idx="5">
                    <c:v>2014</c:v>
                  </c:pt>
                  <c:pt idx="6">
                    <c:v>2015</c:v>
                  </c:pt>
                  <c:pt idx="7">
                    <c:v>2016</c:v>
                  </c:pt>
                  <c:pt idx="8">
                    <c:v>2017</c:v>
                  </c:pt>
                </c:lvl>
                <c:lvl>
                  <c:pt idx="0">
                    <c:v>Исследуемый временной период, гг.</c:v>
                  </c:pt>
                </c:lvl>
              </c:multiLvlStrCache>
            </c:multiLvlStrRef>
          </c:cat>
          <c:val>
            <c:numRef>
              <c:f>Лист5!$B$5:$J$5</c:f>
              <c:numCache>
                <c:formatCode>General</c:formatCode>
                <c:ptCount val="9"/>
              </c:numCache>
            </c:numRef>
          </c:val>
          <c:smooth val="0"/>
        </c:ser>
        <c:ser>
          <c:idx val="3"/>
          <c:order val="3"/>
          <c:tx>
            <c:strRef>
              <c:f>Лист5!$A$6</c:f>
              <c:strCache>
                <c:ptCount val="1"/>
                <c:pt idx="0">
                  <c:v>Акцизы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dLbls>
            <c:dLbl>
              <c:idx val="8"/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6">
                    <a:lumMod val="60000"/>
                  </a:schemeClr>
                </a:solidFill>
                <a:prstDash val="sysDot"/>
              </a:ln>
              <a:effectLst/>
            </c:spPr>
            <c:trendlineType val="linear"/>
            <c:forward val="3"/>
            <c:dispRSqr val="0"/>
            <c:dispEq val="0"/>
          </c:trendline>
          <c:cat>
            <c:multiLvlStrRef>
              <c:f>Лист5!$B$1:$J$2</c:f>
              <c:multiLvlStrCache>
                <c:ptCount val="9"/>
                <c:lvl>
                  <c:pt idx="0">
                    <c:v>2009</c:v>
                  </c:pt>
                  <c:pt idx="1">
                    <c:v>2010</c:v>
                  </c:pt>
                  <c:pt idx="2">
                    <c:v>2011</c:v>
                  </c:pt>
                  <c:pt idx="3">
                    <c:v>2012</c:v>
                  </c:pt>
                  <c:pt idx="4">
                    <c:v>2013</c:v>
                  </c:pt>
                  <c:pt idx="5">
                    <c:v>2014</c:v>
                  </c:pt>
                  <c:pt idx="6">
                    <c:v>2015</c:v>
                  </c:pt>
                  <c:pt idx="7">
                    <c:v>2016</c:v>
                  </c:pt>
                  <c:pt idx="8">
                    <c:v>2017</c:v>
                  </c:pt>
                </c:lvl>
                <c:lvl>
                  <c:pt idx="0">
                    <c:v>Исследуемый временной период, гг.</c:v>
                  </c:pt>
                </c:lvl>
              </c:multiLvlStrCache>
            </c:multiLvlStrRef>
          </c:cat>
          <c:val>
            <c:numRef>
              <c:f>Лист5!$B$6:$J$6</c:f>
              <c:numCache>
                <c:formatCode>General</c:formatCode>
                <c:ptCount val="9"/>
                <c:pt idx="0">
                  <c:v>7.8</c:v>
                </c:pt>
                <c:pt idx="1">
                  <c:v>623.5</c:v>
                </c:pt>
                <c:pt idx="2">
                  <c:v>1758</c:v>
                </c:pt>
                <c:pt idx="3">
                  <c:v>2234</c:v>
                </c:pt>
                <c:pt idx="4">
                  <c:v>3448</c:v>
                </c:pt>
                <c:pt idx="5">
                  <c:v>5766</c:v>
                </c:pt>
                <c:pt idx="6">
                  <c:v>9457.5</c:v>
                </c:pt>
                <c:pt idx="7">
                  <c:v>9457.5</c:v>
                </c:pt>
                <c:pt idx="8">
                  <c:v>11159.8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81052032"/>
        <c:axId val="1581048768"/>
      </c:lineChart>
      <c:catAx>
        <c:axId val="158105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1048768"/>
        <c:crosses val="autoZero"/>
        <c:auto val="1"/>
        <c:lblAlgn val="ctr"/>
        <c:lblOffset val="100"/>
        <c:noMultiLvlLbl val="0"/>
      </c:catAx>
      <c:valAx>
        <c:axId val="158104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Косвенные налоги, млн.руб.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105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2016-12-22T08:29:00Z</dcterms:created>
  <dcterms:modified xsi:type="dcterms:W3CDTF">2016-12-22T08:29:00Z</dcterms:modified>
</cp:coreProperties>
</file>